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159" w:lineRule="exact"/>
        <w:ind w:left="111" w:right="0" w:firstLine="0"/>
        <w:jc w:val="left"/>
        <w:rPr>
          <w:rFonts w:hint="eastAsia" w:ascii="方正小标宋简体" w:eastAsia="方正小标宋简体"/>
          <w:sz w:val="144"/>
        </w:rPr>
      </w:pPr>
      <w:r>
        <w:rPr>
          <w:rFonts w:hint="eastAsia" w:ascii="方正小标宋简体" w:eastAsia="方正小标宋简体"/>
          <w:color w:val="FF0000"/>
          <w:w w:val="50"/>
          <w:sz w:val="144"/>
        </w:rPr>
        <w:t>安丘市人民政府办公室文件</w:t>
      </w:r>
    </w:p>
    <w:p>
      <w:pPr>
        <w:pStyle w:val="3"/>
        <w:spacing w:before="659"/>
        <w:ind w:left="862" w:right="991"/>
        <w:jc w:val="center"/>
      </w:pPr>
      <w:r>
        <w:t>安政办〔2020〕10号</w:t>
      </w:r>
    </w:p>
    <w:p>
      <w:pPr>
        <w:pStyle w:val="3"/>
        <w:spacing w:before="7"/>
        <w:rPr>
          <w:sz w:val="13"/>
        </w:rPr>
      </w:pPr>
      <w:r>
        <w:pict>
          <v:line id="_x0000_s1026" o:spid="_x0000_s1026" o:spt="20" style="position:absolute;left:0pt;margin-left:72.5pt;margin-top:11.45pt;height:0pt;width:450.25pt;mso-position-horizontal-relative:page;mso-wrap-distance-bottom:0pt;mso-wrap-distance-top:0pt;z-index:-251658240;mso-width-relative:page;mso-height-relative:page;" stroked="t" coordsize="21600,21600">
            <v:path arrowok="t"/>
            <v:fill focussize="0,0"/>
            <v:stroke weight="1.65pt" color="#FF0000"/>
            <v:imagedata o:title=""/>
            <o:lock v:ext="edit"/>
            <w10:wrap type="topAndBottom"/>
          </v:line>
        </w:pict>
      </w:r>
    </w:p>
    <w:p>
      <w:pPr>
        <w:pStyle w:val="2"/>
        <w:spacing w:line="743"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安丘市人民政府办公室</w:t>
      </w:r>
    </w:p>
    <w:p>
      <w:pPr>
        <w:keepNext w:val="0"/>
        <w:keepLines w:val="0"/>
        <w:pageBreakBefore w:val="0"/>
        <w:widowControl w:val="0"/>
        <w:kinsoku/>
        <w:wordWrap/>
        <w:overflowPunct/>
        <w:topLinePunct w:val="0"/>
        <w:autoSpaceDE w:val="0"/>
        <w:autoSpaceDN w:val="0"/>
        <w:bidi w:val="0"/>
        <w:adjustRightInd/>
        <w:snapToGrid/>
        <w:spacing w:before="9" w:after="0" w:afterLines="100" w:line="640" w:lineRule="exact"/>
        <w:ind w:left="862" w:right="992" w:firstLine="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w w:val="95"/>
          <w:sz w:val="44"/>
        </w:rPr>
        <w:t>关于公布零星地块配建幼儿园费用纳入</w:t>
      </w:r>
      <w:r>
        <w:rPr>
          <w:rFonts w:hint="eastAsia" w:ascii="方正小标宋简体" w:hAnsi="方正小标宋简体" w:eastAsia="方正小标宋简体" w:cs="方正小标宋简体"/>
          <w:sz w:val="44"/>
        </w:rPr>
        <w:t>土地熟化成本缴费标准的通知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bookmarkStart w:id="0" w:name="_GoBack"/>
      <w:r>
        <w:t>各镇政府、街办、开发区管委会，市直有关部门、单位：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spacing w:val="-4"/>
          <w:lang w:eastAsia="zh-CN"/>
        </w:rPr>
      </w:pPr>
      <w:r>
        <w:rPr>
          <w:w w:val="95"/>
        </w:rPr>
        <w:t>根据《山东省学前教育条例》等文件要求，按照潍坊市区</w:t>
      </w:r>
      <w:r>
        <w:rPr>
          <w:spacing w:val="13"/>
          <w:w w:val="95"/>
        </w:rPr>
        <w:t>和各县市零星地块住宅开发承担配套幼儿园建设成本测算方</w:t>
      </w:r>
      <w:r>
        <w:rPr>
          <w:spacing w:val="-11"/>
          <w:w w:val="95"/>
        </w:rPr>
        <w:t>法</w:t>
      </w:r>
      <w:r>
        <w:rPr>
          <w:rFonts w:hint="eastAsia"/>
          <w:spacing w:val="-11"/>
          <w:w w:val="95"/>
          <w:lang w:eastAsia="zh-CN"/>
        </w:rPr>
        <w:t>，</w:t>
      </w:r>
      <w:r>
        <w:rPr>
          <w:spacing w:val="-11"/>
          <w:w w:val="95"/>
        </w:rPr>
        <w:t>市财政局和市教体局委托第三方,对我市零星地块住宅开发</w:t>
      </w:r>
      <w:r>
        <w:rPr>
          <w:spacing w:val="-3"/>
        </w:rPr>
        <w:t>配建幼儿园费用纳入土地熟化成本进行测算，拟定我市标准，</w:t>
      </w:r>
      <w:r>
        <w:rPr>
          <w:spacing w:val="-15"/>
        </w:rPr>
        <w:t>并经市政府第</w:t>
      </w:r>
      <w:r>
        <w:t>42</w:t>
      </w:r>
      <w:r>
        <w:rPr>
          <w:spacing w:val="-15"/>
        </w:rPr>
        <w:t>次常务会议研究通过，现将居住区零星地块配</w:t>
      </w:r>
      <w:r>
        <w:rPr>
          <w:spacing w:val="-4"/>
        </w:rPr>
        <w:t>建幼儿园费用纳入土地熟化成本缴费标准予以公布，请严格按标准执行</w:t>
      </w:r>
      <w:r>
        <w:rPr>
          <w:rFonts w:hint="eastAsia"/>
          <w:spacing w:val="-4"/>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4"/>
          <w:w w:val="95"/>
        </w:rPr>
      </w:pPr>
      <w:r>
        <w:t>该配建幼儿园费用纳入土地熟化成本缴费标准将按照实际情况定期进行调整。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textAlignment w:val="auto"/>
        <w:rPr>
          <w:spacing w:val="4"/>
          <w:w w:val="9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574" w:leftChars="290" w:right="0" w:hanging="936" w:hangingChars="300"/>
        <w:textAlignment w:val="auto"/>
      </w:pPr>
      <w:r>
        <w:rPr>
          <w:spacing w:val="4"/>
          <w:w w:val="95"/>
        </w:rPr>
        <w:t>附件：安丘市零星地块配建幼儿园费用纳入土地熟化成本</w:t>
      </w:r>
      <w:r>
        <w:t>缴费标准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pPr>
      <w:r>
        <w:t>（此件公开发布）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right"/>
        <w:textAlignment w:val="auto"/>
        <w:rPr>
          <w:rFonts w:hint="eastAsia"/>
          <w:lang w:eastAsia="zh-CN"/>
        </w:rPr>
      </w:pPr>
      <w:r>
        <w:rPr>
          <w:rFonts w:hint="eastAsia"/>
          <w:lang w:eastAsia="zh-CN"/>
        </w:rPr>
        <w:t>安丘市人民政府办公室</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right"/>
        <w:textAlignment w:val="auto"/>
        <w:rPr>
          <w:rFonts w:hint="default"/>
          <w:lang w:val="en-US" w:eastAsia="zh-CN"/>
        </w:rPr>
      </w:pPr>
      <w:r>
        <w:rPr>
          <w:rFonts w:hint="eastAsia"/>
          <w:lang w:val="en-US" w:eastAsia="zh-CN"/>
        </w:rPr>
        <w:t>2020年3月14日</w:t>
      </w:r>
    </w:p>
    <w:p>
      <w:pPr>
        <w:pStyle w:val="3"/>
        <w:spacing w:before="55"/>
      </w:pPr>
    </w:p>
    <w:p>
      <w:pPr>
        <w:pStyle w:val="3"/>
        <w:spacing w:before="54" w:line="382" w:lineRule="exact"/>
        <w:rPr>
          <w:rFonts w:hint="eastAsia" w:ascii="黑体" w:eastAsia="黑体"/>
        </w:rPr>
      </w:pPr>
      <w:r>
        <w:rPr>
          <w:rFonts w:hint="eastAsia" w:ascii="黑体" w:eastAsia="黑体"/>
        </w:rPr>
        <w:t>附件</w:t>
      </w:r>
    </w:p>
    <w:p>
      <w:pPr>
        <w:pStyle w:val="2"/>
        <w:spacing w:before="120" w:line="172" w:lineRule="auto"/>
        <w:ind w:left="2343" w:right="1203" w:hanging="1270"/>
        <w:jc w:val="left"/>
        <w:rPr>
          <w:rFonts w:hint="eastAsia" w:ascii="方正小标宋简体" w:eastAsia="方正小标宋简体"/>
        </w:rPr>
      </w:pPr>
      <w:r>
        <w:rPr>
          <w:rFonts w:hint="eastAsia" w:ascii="方正小标宋简体" w:eastAsia="方正小标宋简体"/>
          <w:w w:val="95"/>
        </w:rPr>
        <w:t>安丘市零星地块配建幼儿园费用纳入</w:t>
      </w:r>
      <w:r>
        <w:rPr>
          <w:rFonts w:hint="eastAsia" w:ascii="方正小标宋简体" w:eastAsia="方正小标宋简体"/>
        </w:rPr>
        <w:t>土地熟化成本缴费标准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pPr>
      <w:r>
        <w:rPr>
          <w:w w:val="95"/>
        </w:rPr>
        <w:t>经测算，我市零星地块住宅开发配建幼儿园费用纳入土地</w:t>
      </w:r>
      <w:r>
        <w:t>熟化成本缴费标准如下：</w:t>
      </w:r>
    </w:p>
    <w:p>
      <w:pPr>
        <w:pStyle w:val="7"/>
        <w:keepNext w:val="0"/>
        <w:keepLines w:val="0"/>
        <w:pageBreakBefore w:val="0"/>
        <w:widowControl w:val="0"/>
        <w:numPr>
          <w:ilvl w:val="0"/>
          <w:numId w:val="1"/>
        </w:numPr>
        <w:tabs>
          <w:tab w:val="left" w:pos="1038"/>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sz w:val="32"/>
        </w:rPr>
      </w:pPr>
      <w:r>
        <w:rPr>
          <w:spacing w:val="-4"/>
          <w:sz w:val="32"/>
        </w:rPr>
        <w:t>住宅为低层</w:t>
      </w:r>
      <w:r>
        <w:rPr>
          <w:sz w:val="32"/>
        </w:rPr>
        <w:t>（1-3</w:t>
      </w:r>
      <w:r>
        <w:rPr>
          <w:spacing w:val="-42"/>
          <w:sz w:val="32"/>
        </w:rPr>
        <w:t>层</w:t>
      </w:r>
      <w:r>
        <w:rPr>
          <w:spacing w:val="-17"/>
          <w:sz w:val="32"/>
        </w:rPr>
        <w:t>）</w:t>
      </w:r>
      <w:r>
        <w:rPr>
          <w:spacing w:val="-21"/>
          <w:sz w:val="32"/>
        </w:rPr>
        <w:t>，容积率</w:t>
      </w:r>
      <w:r>
        <w:rPr>
          <w:spacing w:val="-3"/>
          <w:sz w:val="32"/>
        </w:rPr>
        <w:t>1.0-1.1</w:t>
      </w:r>
      <w:r>
        <w:rPr>
          <w:spacing w:val="-2"/>
          <w:sz w:val="32"/>
        </w:rPr>
        <w:t>，出让地块配建</w:t>
      </w:r>
      <w:r>
        <w:rPr>
          <w:spacing w:val="-7"/>
          <w:sz w:val="32"/>
        </w:rPr>
        <w:t>幼儿园费用纳入土地熟化成本缴费标准为</w:t>
      </w:r>
      <w:r>
        <w:rPr>
          <w:sz w:val="32"/>
        </w:rPr>
        <w:t>5.35</w:t>
      </w:r>
      <w:r>
        <w:rPr>
          <w:spacing w:val="-28"/>
          <w:sz w:val="32"/>
        </w:rPr>
        <w:t>万元</w:t>
      </w:r>
      <w:r>
        <w:rPr>
          <w:sz w:val="32"/>
        </w:rPr>
        <w:t>/亩；</w:t>
      </w:r>
    </w:p>
    <w:p>
      <w:pPr>
        <w:pStyle w:val="7"/>
        <w:keepNext w:val="0"/>
        <w:keepLines w:val="0"/>
        <w:pageBreakBefore w:val="0"/>
        <w:widowControl w:val="0"/>
        <w:numPr>
          <w:ilvl w:val="0"/>
          <w:numId w:val="1"/>
        </w:numPr>
        <w:tabs>
          <w:tab w:val="left" w:pos="1038"/>
        </w:tabs>
        <w:kinsoku/>
        <w:wordWrap/>
        <w:overflowPunct/>
        <w:topLinePunct w:val="0"/>
        <w:autoSpaceDE w:val="0"/>
        <w:autoSpaceDN w:val="0"/>
        <w:bidi w:val="0"/>
        <w:adjustRightInd/>
        <w:snapToGrid/>
        <w:spacing w:before="0" w:after="0" w:line="560" w:lineRule="exact"/>
        <w:ind w:left="0" w:right="0" w:firstLine="584" w:firstLineChars="200"/>
        <w:jc w:val="both"/>
        <w:textAlignment w:val="auto"/>
        <w:rPr>
          <w:sz w:val="32"/>
        </w:rPr>
      </w:pPr>
      <w:r>
        <w:rPr>
          <w:spacing w:val="-14"/>
          <w:sz w:val="32"/>
        </w:rPr>
        <w:t>住宅为多层</w:t>
      </w:r>
      <w:r>
        <w:rPr>
          <w:sz w:val="32"/>
        </w:rPr>
        <w:t>I</w:t>
      </w:r>
      <w:r>
        <w:rPr>
          <w:spacing w:val="-50"/>
          <w:sz w:val="32"/>
        </w:rPr>
        <w:t>类</w:t>
      </w:r>
      <w:r>
        <w:rPr>
          <w:sz w:val="32"/>
        </w:rPr>
        <w:t>（4-6</w:t>
      </w:r>
      <w:r>
        <w:rPr>
          <w:spacing w:val="-42"/>
          <w:sz w:val="32"/>
        </w:rPr>
        <w:t>层</w:t>
      </w:r>
      <w:r>
        <w:rPr>
          <w:spacing w:val="-18"/>
          <w:sz w:val="32"/>
        </w:rPr>
        <w:t>）</w:t>
      </w:r>
      <w:r>
        <w:rPr>
          <w:spacing w:val="-21"/>
          <w:sz w:val="32"/>
        </w:rPr>
        <w:t>，容积率</w:t>
      </w:r>
      <w:r>
        <w:rPr>
          <w:spacing w:val="-3"/>
          <w:sz w:val="32"/>
        </w:rPr>
        <w:t>1.2-1.5</w:t>
      </w:r>
      <w:r>
        <w:rPr>
          <w:spacing w:val="-2"/>
          <w:sz w:val="32"/>
        </w:rPr>
        <w:t>，出让地块</w:t>
      </w:r>
      <w:r>
        <w:rPr>
          <w:spacing w:val="-6"/>
          <w:sz w:val="32"/>
        </w:rPr>
        <w:t>配建幼儿园费用纳入土地熟化成本缴费标准为</w:t>
      </w:r>
      <w:r>
        <w:rPr>
          <w:sz w:val="32"/>
        </w:rPr>
        <w:t>6.42</w:t>
      </w:r>
      <w:r>
        <w:rPr>
          <w:spacing w:val="-30"/>
          <w:sz w:val="32"/>
        </w:rPr>
        <w:t>万元</w:t>
      </w:r>
      <w:r>
        <w:rPr>
          <w:sz w:val="32"/>
        </w:rPr>
        <w:t>/亩；</w:t>
      </w:r>
    </w:p>
    <w:p>
      <w:pPr>
        <w:pStyle w:val="7"/>
        <w:keepNext w:val="0"/>
        <w:keepLines w:val="0"/>
        <w:pageBreakBefore w:val="0"/>
        <w:widowControl w:val="0"/>
        <w:numPr>
          <w:ilvl w:val="0"/>
          <w:numId w:val="1"/>
        </w:numPr>
        <w:tabs>
          <w:tab w:val="left" w:pos="1038"/>
        </w:tabs>
        <w:kinsoku/>
        <w:wordWrap/>
        <w:overflowPunct/>
        <w:topLinePunct w:val="0"/>
        <w:autoSpaceDE w:val="0"/>
        <w:autoSpaceDN w:val="0"/>
        <w:bidi w:val="0"/>
        <w:adjustRightInd/>
        <w:snapToGrid/>
        <w:spacing w:before="0" w:after="0" w:line="560" w:lineRule="exact"/>
        <w:ind w:left="0" w:right="0" w:firstLine="628" w:firstLineChars="200"/>
        <w:jc w:val="both"/>
        <w:textAlignment w:val="auto"/>
        <w:rPr>
          <w:sz w:val="32"/>
        </w:rPr>
      </w:pPr>
      <w:r>
        <w:rPr>
          <w:spacing w:val="-3"/>
          <w:sz w:val="32"/>
        </w:rPr>
        <w:t>住宅为多层Ⅱ类</w:t>
      </w:r>
      <w:r>
        <w:rPr>
          <w:sz w:val="32"/>
        </w:rPr>
        <w:t>（1-9</w:t>
      </w:r>
      <w:r>
        <w:rPr>
          <w:spacing w:val="-43"/>
          <w:sz w:val="32"/>
        </w:rPr>
        <w:t>层</w:t>
      </w:r>
      <w:r>
        <w:rPr>
          <w:spacing w:val="-18"/>
          <w:sz w:val="32"/>
        </w:rPr>
        <w:t>）</w:t>
      </w:r>
      <w:r>
        <w:rPr>
          <w:spacing w:val="-21"/>
          <w:sz w:val="32"/>
        </w:rPr>
        <w:t>，容积率</w:t>
      </w:r>
      <w:r>
        <w:rPr>
          <w:spacing w:val="-3"/>
          <w:sz w:val="32"/>
        </w:rPr>
        <w:t>1.6-1.9</w:t>
      </w:r>
      <w:r>
        <w:rPr>
          <w:spacing w:val="-2"/>
          <w:sz w:val="32"/>
        </w:rPr>
        <w:t>，出让地块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pPr>
      <w:r>
        <w:rPr>
          <w:spacing w:val="-5"/>
        </w:rPr>
        <w:t>配建幼儿园费用纳入土地熟化成本缴费标准为</w:t>
      </w:r>
      <w:r>
        <w:t>9.17</w:t>
      </w:r>
      <w:r>
        <w:rPr>
          <w:spacing w:val="-30"/>
        </w:rPr>
        <w:t>万元</w:t>
      </w:r>
      <w:r>
        <w:t>/亩；4.</w:t>
      </w:r>
      <w:r>
        <w:rPr>
          <w:spacing w:val="-3"/>
        </w:rPr>
        <w:t>住宅为高层Ⅰ类</w:t>
      </w:r>
      <w:r>
        <w:t>（10-18</w:t>
      </w:r>
      <w:r>
        <w:rPr>
          <w:spacing w:val="-42"/>
        </w:rPr>
        <w:t>层</w:t>
      </w:r>
      <w:r>
        <w:rPr>
          <w:spacing w:val="-17"/>
        </w:rPr>
        <w:t>），</w:t>
      </w:r>
      <w:r>
        <w:rPr>
          <w:spacing w:val="-22"/>
        </w:rPr>
        <w:t>容积率</w:t>
      </w:r>
      <w:r>
        <w:rPr>
          <w:spacing w:val="-3"/>
        </w:rPr>
        <w:t>2.0-2.6</w:t>
      </w:r>
      <w:r>
        <w:rPr>
          <w:spacing w:val="-2"/>
        </w:rPr>
        <w:t>，出让地</w:t>
      </w:r>
      <w:r>
        <w:rPr>
          <w:spacing w:val="3"/>
        </w:rPr>
        <w:t>块配建幼儿园费用纳入土地熟化成本缴费标准为</w:t>
      </w:r>
      <w:r>
        <w:t>11.33</w:t>
      </w:r>
      <w:r>
        <w:rPr>
          <w:spacing w:val="-22"/>
        </w:rPr>
        <w:t>万元</w:t>
      </w:r>
      <w:r>
        <w:t>/亩；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pPr>
      <w:r>
        <w:rPr>
          <w:rFonts w:hint="eastAsia"/>
          <w:lang w:val="en-US" w:eastAsia="zh-CN"/>
        </w:rPr>
        <w:t>4.</w:t>
      </w:r>
      <w:r>
        <w:rPr>
          <w:spacing w:val="-3"/>
        </w:rPr>
        <w:t>住宅为高层Ⅱ类</w:t>
      </w:r>
      <w:r>
        <w:t>（19-26</w:t>
      </w:r>
      <w:r>
        <w:rPr>
          <w:spacing w:val="-42"/>
        </w:rPr>
        <w:t>层</w:t>
      </w:r>
      <w:r>
        <w:rPr>
          <w:spacing w:val="-17"/>
        </w:rPr>
        <w:t>），</w:t>
      </w:r>
      <w:r>
        <w:rPr>
          <w:spacing w:val="-22"/>
        </w:rPr>
        <w:t>容积率</w:t>
      </w:r>
      <w:r>
        <w:rPr>
          <w:spacing w:val="-3"/>
        </w:rPr>
        <w:t>2.7-2.9</w:t>
      </w:r>
      <w:r>
        <w:rPr>
          <w:spacing w:val="-2"/>
        </w:rPr>
        <w:t>，出让地</w:t>
      </w:r>
      <w:r>
        <w:rPr>
          <w:spacing w:val="3"/>
        </w:rPr>
        <w:t>块配建幼儿园费用纳入土地熟化成本缴费标准为</w:t>
      </w:r>
      <w:r>
        <w:t>14.81</w:t>
      </w:r>
      <w:r>
        <w:rPr>
          <w:spacing w:val="-22"/>
        </w:rPr>
        <w:t>万元</w:t>
      </w:r>
      <w:r>
        <w:t>/亩。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pPr>
      <w:r>
        <w:rPr>
          <w:rFonts w:hint="eastAsia"/>
          <w:lang w:val="en-US" w:eastAsia="zh-CN"/>
        </w:rPr>
        <w:t>5.</w:t>
      </w:r>
      <w:r>
        <w:t>容积率大于2.9的，参照高层Ⅱ类缴费保障执行。</w:t>
      </w:r>
    </w:p>
    <w:bookmarkEnd w:id="0"/>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51"/>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51"/>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51"/>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51"/>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51"/>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51"/>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51"/>
        <w:jc w:val="both"/>
        <w:textAlignment w:val="auto"/>
      </w:pPr>
    </w:p>
    <w:p>
      <w:pPr>
        <w:pStyle w:val="3"/>
        <w:spacing w:before="8"/>
        <w:rPr>
          <w:sz w:val="13"/>
        </w:rPr>
      </w:pPr>
      <w:r>
        <w:pict>
          <v:line id="_x0000_s1030" o:spid="_x0000_s1030" o:spt="20" style="position:absolute;left:0pt;margin-left:72.5pt;margin-top:11.1pt;height:0pt;width:450.25pt;mso-position-horizontal-relative:page;mso-wrap-distance-bottom:0pt;mso-wrap-distance-top:0pt;z-index:-251655168;mso-width-relative:page;mso-height-relative:page;" stroked="t" coordsize="21600,21600">
            <v:path arrowok="t"/>
            <v:fill focussize="0,0"/>
            <v:stroke weight="0.9pt" color="#000000"/>
            <v:imagedata o:title=""/>
            <o:lock v:ext="edit"/>
            <w10:wrap type="topAndBottom"/>
          </v:line>
        </w:pict>
      </w:r>
    </w:p>
    <w:p>
      <w:pPr>
        <w:pStyle w:val="3"/>
        <w:tabs>
          <w:tab w:val="left" w:pos="5868"/>
        </w:tabs>
        <w:spacing w:before="16" w:after="86"/>
        <w:ind w:left="413"/>
      </w:pPr>
      <w:r>
        <w:rPr>
          <w:spacing w:val="-17"/>
        </w:rPr>
        <w:t>安</w:t>
      </w:r>
      <w:r>
        <w:rPr>
          <w:spacing w:val="-15"/>
        </w:rPr>
        <w:t>丘</w:t>
      </w:r>
      <w:r>
        <w:rPr>
          <w:spacing w:val="-17"/>
        </w:rPr>
        <w:t>市人</w:t>
      </w:r>
      <w:r>
        <w:rPr>
          <w:spacing w:val="-15"/>
        </w:rPr>
        <w:t>民</w:t>
      </w:r>
      <w:r>
        <w:rPr>
          <w:spacing w:val="-17"/>
        </w:rPr>
        <w:t>政府</w:t>
      </w:r>
      <w:r>
        <w:rPr>
          <w:spacing w:val="-15"/>
        </w:rPr>
        <w:t>办</w:t>
      </w:r>
      <w:r>
        <w:rPr>
          <w:spacing w:val="-17"/>
        </w:rPr>
        <w:t>公</w:t>
      </w:r>
      <w:r>
        <w:t>室</w:t>
      </w:r>
      <w:r>
        <w:tab/>
      </w:r>
      <w:r>
        <w:rPr>
          <w:spacing w:val="-6"/>
        </w:rPr>
        <w:t>2020</w:t>
      </w:r>
      <w:r>
        <w:rPr>
          <w:spacing w:val="55"/>
        </w:rPr>
        <w:t>年</w:t>
      </w:r>
      <w:r>
        <w:t>3</w:t>
      </w:r>
      <w:r>
        <w:rPr>
          <w:spacing w:val="55"/>
        </w:rPr>
        <w:t>月</w:t>
      </w:r>
      <w:r>
        <w:rPr>
          <w:spacing w:val="-5"/>
        </w:rPr>
        <w:t>14</w:t>
      </w:r>
      <w:r>
        <w:rPr>
          <w:spacing w:val="-17"/>
        </w:rPr>
        <w:t>日</w:t>
      </w:r>
      <w:r>
        <w:rPr>
          <w:spacing w:val="-15"/>
        </w:rPr>
        <w:t>印</w:t>
      </w:r>
      <w:r>
        <w:t>发</w:t>
      </w:r>
    </w:p>
    <w:p>
      <w:pPr>
        <w:pStyle w:val="3"/>
        <w:spacing w:line="20" w:lineRule="exact"/>
        <w:ind w:left="21" w:right="-29"/>
        <w:rPr>
          <w:sz w:val="2"/>
        </w:rPr>
      </w:pPr>
      <w:r>
        <w:rPr>
          <w:sz w:val="2"/>
        </w:rPr>
        <w:pict>
          <v:group id="_x0000_s1031" o:spid="_x0000_s1031" o:spt="203" style="height:0.9pt;width:450.25pt;" coordsize="9005,18">
            <o:lock v:ext="edit"/>
            <v:line id="_x0000_s1032" o:spid="_x0000_s1032" o:spt="20" style="position:absolute;left:0;top:9;height:0;width:9005;" stroked="t" coordsize="21600,21600">
              <v:path arrowok="t"/>
              <v:fill focussize="0,0"/>
              <v:stroke weight="0.9pt" color="#000000"/>
              <v:imagedata o:title=""/>
              <o:lock v:ext="edit"/>
            </v:line>
            <w10:wrap type="none"/>
            <w10:anchorlock/>
          </v:group>
        </w:pict>
      </w:r>
    </w:p>
    <w:p>
      <w:pPr>
        <w:spacing w:before="62"/>
        <w:ind w:left="0" w:right="107" w:firstLine="0"/>
        <w:jc w:val="right"/>
        <w:rPr>
          <w:sz w:val="28"/>
        </w:rPr>
      </w:pPr>
    </w:p>
    <w:p>
      <w:pPr>
        <w:spacing w:before="62"/>
        <w:ind w:left="0" w:right="107" w:firstLine="0"/>
        <w:jc w:val="both"/>
        <w:rPr>
          <w:sz w:val="28"/>
        </w:rPr>
      </w:pPr>
    </w:p>
    <w:sectPr>
      <w:pgSz w:w="11910" w:h="16840"/>
      <w:pgMar w:top="1580" w:right="1420" w:bottom="280" w:left="14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1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014" w:hanging="322"/>
      </w:pPr>
      <w:rPr>
        <w:rFonts w:hint="default"/>
        <w:lang w:val="zh-CN" w:eastAsia="zh-CN" w:bidi="zh-CN"/>
      </w:rPr>
    </w:lvl>
    <w:lvl w:ilvl="2" w:tentative="0">
      <w:start w:val="0"/>
      <w:numFmt w:val="bullet"/>
      <w:lvlText w:val="•"/>
      <w:lvlJc w:val="left"/>
      <w:pPr>
        <w:ind w:left="1909" w:hanging="322"/>
      </w:pPr>
      <w:rPr>
        <w:rFonts w:hint="default"/>
        <w:lang w:val="zh-CN" w:eastAsia="zh-CN" w:bidi="zh-CN"/>
      </w:rPr>
    </w:lvl>
    <w:lvl w:ilvl="3" w:tentative="0">
      <w:start w:val="0"/>
      <w:numFmt w:val="bullet"/>
      <w:lvlText w:val="•"/>
      <w:lvlJc w:val="left"/>
      <w:pPr>
        <w:ind w:left="280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93" w:hanging="322"/>
      </w:pPr>
      <w:rPr>
        <w:rFonts w:hint="default"/>
        <w:lang w:val="zh-CN" w:eastAsia="zh-CN" w:bidi="zh-CN"/>
      </w:rPr>
    </w:lvl>
    <w:lvl w:ilvl="6" w:tentative="0">
      <w:start w:val="0"/>
      <w:numFmt w:val="bullet"/>
      <w:lvlText w:val="•"/>
      <w:lvlJc w:val="left"/>
      <w:pPr>
        <w:ind w:left="5487" w:hanging="322"/>
      </w:pPr>
      <w:rPr>
        <w:rFonts w:hint="default"/>
        <w:lang w:val="zh-CN" w:eastAsia="zh-CN" w:bidi="zh-CN"/>
      </w:rPr>
    </w:lvl>
    <w:lvl w:ilvl="7" w:tentative="0">
      <w:start w:val="0"/>
      <w:numFmt w:val="bullet"/>
      <w:lvlText w:val="•"/>
      <w:lvlJc w:val="left"/>
      <w:pPr>
        <w:ind w:left="6382" w:hanging="322"/>
      </w:pPr>
      <w:rPr>
        <w:rFonts w:hint="default"/>
        <w:lang w:val="zh-CN" w:eastAsia="zh-CN" w:bidi="zh-CN"/>
      </w:rPr>
    </w:lvl>
    <w:lvl w:ilvl="8" w:tentative="0">
      <w:start w:val="0"/>
      <w:numFmt w:val="bullet"/>
      <w:lvlText w:val="•"/>
      <w:lvlJc w:val="left"/>
      <w:pPr>
        <w:ind w:left="7276"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02B0B96"/>
    <w:rsid w:val="17F02029"/>
    <w:rsid w:val="3A7C4EFA"/>
    <w:rsid w:val="4DCE7059"/>
    <w:rsid w:val="51275092"/>
    <w:rsid w:val="54017BB9"/>
    <w:rsid w:val="5F54188B"/>
    <w:rsid w:val="7B2B2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862" w:right="991"/>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3"/>
      <w:ind w:left="111" w:right="260" w:firstLine="604"/>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2020-12-24T06:27:00Z</dcterms:created>
  <dc:creator>Administrator</dc:creator>
  <cp:lastModifiedBy>子梅</cp:lastModifiedBy>
  <dcterms:modified xsi:type="dcterms:W3CDTF">2020-12-26T06:07:29Z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WPS 文字</vt:lpwstr>
  </property>
  <property fmtid="{D5CDD505-2E9C-101B-9397-08002B2CF9AE}" pid="4" name="LastSaved">
    <vt:filetime>2020-12-24T00:00:00Z</vt:filetime>
  </property>
  <property fmtid="{D5CDD505-2E9C-101B-9397-08002B2CF9AE}" pid="5" name="KSOProductBuildVer">
    <vt:lpwstr>2052-11.1.0.10000</vt:lpwstr>
  </property>
</Properties>
</file>