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ind w:left="611"/>
        <w:rPr>
          <w:rFonts w:hint="eastAsia" w:ascii="黑体" w:eastAsia="黑体"/>
        </w:rPr>
      </w:pPr>
      <w:r>
        <w:rPr>
          <w:rFonts w:hint="eastAsia" w:ascii="黑体" w:eastAsia="黑体"/>
        </w:rPr>
        <w:t>附件 2</w:t>
      </w: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1"/>
        </w:rPr>
      </w:pPr>
    </w:p>
    <w:p>
      <w:pPr>
        <w:pStyle w:val="2"/>
        <w:spacing w:line="729" w:lineRule="exact"/>
      </w:pPr>
      <w:r>
        <w:rPr>
          <w:w w:val="95"/>
        </w:rPr>
        <w:t>安丘市城区商业用地级别范围说明表</w:t>
      </w:r>
    </w:p>
    <w:p>
      <w:pPr>
        <w:pStyle w:val="3"/>
        <w:spacing w:before="12"/>
        <w:rPr>
          <w:rFonts w:ascii="方正小标宋简体"/>
          <w:sz w:val="4"/>
        </w:rPr>
      </w:pPr>
    </w:p>
    <w:tbl>
      <w:tblPr>
        <w:tblStyle w:val="4"/>
        <w:tblW w:w="0" w:type="auto"/>
        <w:tblInd w:w="24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82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93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7"/>
              <w:ind w:left="115" w:right="102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土地级别</w:t>
            </w:r>
          </w:p>
        </w:tc>
        <w:tc>
          <w:tcPr>
            <w:tcW w:w="820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tabs>
                <w:tab w:val="left" w:pos="1002"/>
              </w:tabs>
              <w:spacing w:before="147"/>
              <w:ind w:left="23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范</w:t>
            </w:r>
            <w:r>
              <w:rPr>
                <w:rFonts w:hint="eastAsia" w:ascii="黑体" w:eastAsia="黑体"/>
                <w:sz w:val="28"/>
              </w:rPr>
              <w:tab/>
            </w:r>
            <w:r>
              <w:rPr>
                <w:rFonts w:hint="eastAsia" w:ascii="黑体" w:eastAsia="黑体"/>
                <w:sz w:val="28"/>
              </w:rPr>
              <w:t>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3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"/>
              <w:rPr>
                <w:rFonts w:ascii="方正小标宋简体"/>
                <w:sz w:val="18"/>
              </w:rPr>
            </w:pPr>
          </w:p>
          <w:p>
            <w:pPr>
              <w:pStyle w:val="8"/>
              <w:ind w:left="115" w:right="99"/>
              <w:jc w:val="center"/>
              <w:rPr>
                <w:rFonts w:hint="eastAsia" w:ascii="楷体_GB2312" w:eastAsia="楷体_GB2312"/>
                <w:i/>
                <w:sz w:val="28"/>
              </w:rPr>
            </w:pPr>
            <w:r>
              <w:rPr>
                <w:rFonts w:hint="eastAsia" w:ascii="楷体_GB2312" w:eastAsia="楷体_GB2312"/>
                <w:i/>
                <w:sz w:val="28"/>
              </w:rPr>
              <w:t>一级</w:t>
            </w:r>
          </w:p>
        </w:tc>
        <w:tc>
          <w:tcPr>
            <w:tcW w:w="8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86"/>
              <w:ind w:left="19"/>
              <w:rPr>
                <w:sz w:val="28"/>
              </w:rPr>
            </w:pPr>
            <w:r>
              <w:rPr>
                <w:sz w:val="28"/>
              </w:rPr>
              <w:t>北至青云大街、锦山街、外食街，东至文化路，南至南苑路，西至</w:t>
            </w:r>
          </w:p>
          <w:p>
            <w:pPr>
              <w:pStyle w:val="8"/>
              <w:spacing w:before="140"/>
              <w:ind w:left="19"/>
              <w:rPr>
                <w:sz w:val="28"/>
              </w:rPr>
            </w:pPr>
            <w:r>
              <w:rPr>
                <w:sz w:val="28"/>
              </w:rPr>
              <w:t>华安路、潍徐北路、新安路、永安路。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3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"/>
              <w:rPr>
                <w:rFonts w:ascii="方正小标宋简体"/>
                <w:sz w:val="18"/>
              </w:rPr>
            </w:pPr>
          </w:p>
          <w:p>
            <w:pPr>
              <w:pStyle w:val="8"/>
              <w:ind w:left="115" w:right="99"/>
              <w:jc w:val="center"/>
              <w:rPr>
                <w:rFonts w:hint="eastAsia" w:ascii="楷体_GB2312" w:eastAsia="楷体_GB2312"/>
                <w:i/>
                <w:sz w:val="28"/>
              </w:rPr>
            </w:pPr>
            <w:r>
              <w:rPr>
                <w:rFonts w:hint="eastAsia" w:ascii="楷体_GB2312" w:eastAsia="楷体_GB2312"/>
                <w:i/>
                <w:sz w:val="28"/>
              </w:rPr>
              <w:t>二级</w:t>
            </w:r>
          </w:p>
        </w:tc>
        <w:tc>
          <w:tcPr>
            <w:tcW w:w="8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86"/>
              <w:ind w:left="19"/>
              <w:rPr>
                <w:sz w:val="28"/>
              </w:rPr>
            </w:pPr>
            <w:r>
              <w:rPr>
                <w:sz w:val="28"/>
              </w:rPr>
              <w:t>北至黄山街，东至彭湖路、云湖路、金汶路、莲花山东路，南至双</w:t>
            </w:r>
          </w:p>
          <w:p>
            <w:pPr>
              <w:pStyle w:val="8"/>
              <w:spacing w:before="140"/>
              <w:ind w:left="19"/>
              <w:rPr>
                <w:sz w:val="28"/>
              </w:rPr>
            </w:pPr>
            <w:r>
              <w:rPr>
                <w:sz w:val="28"/>
              </w:rPr>
              <w:t>丰大道，西至汶水南路、潍徐北路、西环路。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3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"/>
              <w:rPr>
                <w:rFonts w:ascii="方正小标宋简体"/>
                <w:sz w:val="18"/>
              </w:rPr>
            </w:pPr>
          </w:p>
          <w:p>
            <w:pPr>
              <w:pStyle w:val="8"/>
              <w:spacing w:before="1"/>
              <w:ind w:left="115" w:right="99"/>
              <w:jc w:val="center"/>
              <w:rPr>
                <w:rFonts w:hint="eastAsia" w:ascii="楷体_GB2312" w:eastAsia="楷体_GB2312"/>
                <w:i/>
                <w:sz w:val="28"/>
              </w:rPr>
            </w:pPr>
            <w:r>
              <w:rPr>
                <w:rFonts w:hint="eastAsia" w:ascii="楷体_GB2312" w:eastAsia="楷体_GB2312"/>
                <w:i/>
                <w:sz w:val="28"/>
              </w:rPr>
              <w:t>三级</w:t>
            </w:r>
          </w:p>
        </w:tc>
        <w:tc>
          <w:tcPr>
            <w:tcW w:w="8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85"/>
              <w:ind w:left="19"/>
              <w:rPr>
                <w:sz w:val="28"/>
              </w:rPr>
            </w:pPr>
            <w:r>
              <w:rPr>
                <w:sz w:val="28"/>
              </w:rPr>
              <w:t>北至青龙湖西路、青龙湖东路，东至青龙湖路，南至凯特路，西至</w:t>
            </w:r>
          </w:p>
          <w:p>
            <w:pPr>
              <w:pStyle w:val="8"/>
              <w:spacing w:before="141"/>
              <w:ind w:left="19"/>
              <w:rPr>
                <w:sz w:val="28"/>
              </w:rPr>
            </w:pPr>
            <w:r>
              <w:rPr>
                <w:sz w:val="28"/>
              </w:rPr>
              <w:t>西环路、潍日高速、行政界线。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393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8"/>
              <w:ind w:left="115" w:right="99"/>
              <w:jc w:val="center"/>
              <w:rPr>
                <w:rFonts w:hint="eastAsia" w:ascii="楷体_GB2312" w:eastAsia="楷体_GB2312"/>
                <w:i/>
                <w:sz w:val="28"/>
              </w:rPr>
            </w:pPr>
            <w:r>
              <w:rPr>
                <w:rFonts w:hint="eastAsia" w:ascii="楷体_GB2312" w:eastAsia="楷体_GB2312"/>
                <w:i/>
                <w:sz w:val="28"/>
              </w:rPr>
              <w:t>四级</w:t>
            </w:r>
          </w:p>
        </w:tc>
        <w:tc>
          <w:tcPr>
            <w:tcW w:w="8207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spacing w:before="148"/>
              <w:ind w:left="19"/>
              <w:rPr>
                <w:sz w:val="28"/>
              </w:rPr>
            </w:pPr>
            <w:r>
              <w:rPr>
                <w:sz w:val="28"/>
              </w:rPr>
              <w:t>评价范围内除一、二、三级地以外的区域。</w:t>
            </w:r>
          </w:p>
        </w:tc>
      </w:tr>
    </w:tbl>
    <w:p>
      <w:pPr>
        <w:pStyle w:val="3"/>
        <w:spacing w:before="4"/>
        <w:rPr>
          <w:rFonts w:ascii="方正小标宋简体"/>
          <w:sz w:val="37"/>
        </w:rPr>
      </w:pPr>
    </w:p>
    <w:p>
      <w:pPr>
        <w:spacing w:before="1"/>
        <w:ind w:left="412" w:right="529" w:firstLine="0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w w:val="95"/>
          <w:sz w:val="44"/>
        </w:rPr>
        <w:t>安丘市城区住宅用地级别范围说明表</w:t>
      </w:r>
    </w:p>
    <w:p>
      <w:pPr>
        <w:pStyle w:val="3"/>
        <w:spacing w:before="13"/>
        <w:rPr>
          <w:rFonts w:ascii="方正小标宋简体"/>
          <w:sz w:val="4"/>
        </w:rPr>
      </w:pPr>
    </w:p>
    <w:tbl>
      <w:tblPr>
        <w:tblStyle w:val="4"/>
        <w:tblW w:w="0" w:type="auto"/>
        <w:tblInd w:w="24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82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93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9"/>
              <w:ind w:left="115" w:right="102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土地级别</w:t>
            </w:r>
          </w:p>
        </w:tc>
        <w:tc>
          <w:tcPr>
            <w:tcW w:w="820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tabs>
                <w:tab w:val="left" w:pos="1002"/>
              </w:tabs>
              <w:spacing w:before="149"/>
              <w:ind w:left="23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范</w:t>
            </w:r>
            <w:r>
              <w:rPr>
                <w:rFonts w:hint="eastAsia" w:ascii="黑体" w:eastAsia="黑体"/>
                <w:sz w:val="28"/>
              </w:rPr>
              <w:tab/>
            </w:r>
            <w:r>
              <w:rPr>
                <w:rFonts w:hint="eastAsia" w:ascii="黑体" w:eastAsia="黑体"/>
                <w:sz w:val="28"/>
              </w:rPr>
              <w:t>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3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"/>
              <w:rPr>
                <w:rFonts w:ascii="方正小标宋简体"/>
                <w:sz w:val="18"/>
              </w:rPr>
            </w:pPr>
          </w:p>
          <w:p>
            <w:pPr>
              <w:pStyle w:val="8"/>
              <w:ind w:left="115" w:right="99"/>
              <w:jc w:val="center"/>
              <w:rPr>
                <w:rFonts w:hint="eastAsia" w:ascii="楷体_GB2312" w:eastAsia="楷体_GB2312"/>
                <w:i/>
                <w:sz w:val="28"/>
              </w:rPr>
            </w:pPr>
            <w:r>
              <w:rPr>
                <w:rFonts w:hint="eastAsia" w:ascii="楷体_GB2312" w:eastAsia="楷体_GB2312"/>
                <w:i/>
                <w:sz w:val="28"/>
              </w:rPr>
              <w:t>一级</w:t>
            </w:r>
          </w:p>
        </w:tc>
        <w:tc>
          <w:tcPr>
            <w:tcW w:w="8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85"/>
              <w:ind w:left="19"/>
              <w:rPr>
                <w:sz w:val="28"/>
              </w:rPr>
            </w:pPr>
            <w:r>
              <w:rPr>
                <w:sz w:val="28"/>
              </w:rPr>
              <w:t>北至青云大街、锦山街、外食街，东至文化路，南至南苑路，西至</w:t>
            </w:r>
          </w:p>
          <w:p>
            <w:pPr>
              <w:pStyle w:val="8"/>
              <w:spacing w:before="143"/>
              <w:ind w:left="19"/>
              <w:rPr>
                <w:sz w:val="28"/>
              </w:rPr>
            </w:pPr>
            <w:r>
              <w:rPr>
                <w:sz w:val="28"/>
              </w:rPr>
              <w:t>华安路、潍徐北路、新安路、永安路。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3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方正小标宋简体"/>
                <w:sz w:val="19"/>
              </w:rPr>
            </w:pPr>
          </w:p>
          <w:p>
            <w:pPr>
              <w:pStyle w:val="8"/>
              <w:spacing w:before="1"/>
              <w:ind w:left="115" w:right="99"/>
              <w:jc w:val="center"/>
              <w:rPr>
                <w:rFonts w:hint="eastAsia" w:ascii="楷体_GB2312" w:eastAsia="楷体_GB2312"/>
                <w:i/>
                <w:sz w:val="28"/>
              </w:rPr>
            </w:pPr>
            <w:r>
              <w:rPr>
                <w:rFonts w:hint="eastAsia" w:ascii="楷体_GB2312" w:eastAsia="楷体_GB2312"/>
                <w:i/>
                <w:sz w:val="28"/>
              </w:rPr>
              <w:t>二级</w:t>
            </w:r>
          </w:p>
        </w:tc>
        <w:tc>
          <w:tcPr>
            <w:tcW w:w="8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85"/>
              <w:ind w:left="19"/>
              <w:rPr>
                <w:sz w:val="28"/>
              </w:rPr>
            </w:pPr>
            <w:r>
              <w:rPr>
                <w:sz w:val="28"/>
              </w:rPr>
              <w:t>北至黄山街，东至彭湖路、云湖路、金汶路、莲花山东路，南至双</w:t>
            </w:r>
          </w:p>
          <w:p>
            <w:pPr>
              <w:pStyle w:val="8"/>
              <w:spacing w:before="143"/>
              <w:ind w:left="19"/>
              <w:rPr>
                <w:sz w:val="28"/>
              </w:rPr>
            </w:pPr>
            <w:r>
              <w:rPr>
                <w:sz w:val="28"/>
              </w:rPr>
              <w:t>丰大道，西至汶水南路、潍徐北路、西环路。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3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方正小标宋简体"/>
                <w:sz w:val="19"/>
              </w:rPr>
            </w:pPr>
          </w:p>
          <w:p>
            <w:pPr>
              <w:pStyle w:val="8"/>
              <w:ind w:left="115" w:right="99"/>
              <w:jc w:val="center"/>
              <w:rPr>
                <w:rFonts w:hint="eastAsia" w:ascii="楷体_GB2312" w:eastAsia="楷体_GB2312"/>
                <w:i/>
                <w:sz w:val="28"/>
              </w:rPr>
            </w:pPr>
            <w:r>
              <w:rPr>
                <w:rFonts w:hint="eastAsia" w:ascii="楷体_GB2312" w:eastAsia="楷体_GB2312"/>
                <w:i/>
                <w:sz w:val="28"/>
              </w:rPr>
              <w:t>三级</w:t>
            </w:r>
          </w:p>
        </w:tc>
        <w:tc>
          <w:tcPr>
            <w:tcW w:w="8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85"/>
              <w:ind w:left="19"/>
              <w:rPr>
                <w:sz w:val="28"/>
              </w:rPr>
            </w:pPr>
            <w:r>
              <w:rPr>
                <w:sz w:val="28"/>
              </w:rPr>
              <w:t>北至青龙湖西路、青龙湖东路，东至青龙湖路，南至凯特路，西至</w:t>
            </w:r>
          </w:p>
          <w:p>
            <w:pPr>
              <w:pStyle w:val="8"/>
              <w:spacing w:before="143"/>
              <w:ind w:left="19"/>
              <w:rPr>
                <w:sz w:val="28"/>
              </w:rPr>
            </w:pPr>
            <w:r>
              <w:rPr>
                <w:sz w:val="28"/>
              </w:rPr>
              <w:t>西环路、潍日高速、行政界线。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393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7"/>
              <w:ind w:left="115" w:right="99"/>
              <w:jc w:val="center"/>
              <w:rPr>
                <w:rFonts w:hint="eastAsia" w:ascii="楷体_GB2312" w:eastAsia="楷体_GB2312"/>
                <w:i/>
                <w:sz w:val="28"/>
              </w:rPr>
            </w:pPr>
            <w:r>
              <w:rPr>
                <w:rFonts w:hint="eastAsia" w:ascii="楷体_GB2312" w:eastAsia="楷体_GB2312"/>
                <w:i/>
                <w:sz w:val="28"/>
              </w:rPr>
              <w:t>四级</w:t>
            </w:r>
          </w:p>
        </w:tc>
        <w:tc>
          <w:tcPr>
            <w:tcW w:w="8207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spacing w:before="147"/>
              <w:ind w:left="19"/>
              <w:rPr>
                <w:sz w:val="28"/>
              </w:rPr>
            </w:pPr>
            <w:r>
              <w:rPr>
                <w:sz w:val="28"/>
              </w:rPr>
              <w:t>评价范围内除一、二、三级地以外的区域。</w:t>
            </w:r>
          </w:p>
        </w:tc>
      </w:tr>
    </w:tbl>
    <w:p>
      <w:pPr>
        <w:spacing w:after="0"/>
        <w:rPr>
          <w:sz w:val="28"/>
        </w:rPr>
        <w:sectPr>
          <w:footerReference r:id="rId3" w:type="default"/>
          <w:footerReference r:id="rId4" w:type="even"/>
          <w:pgSz w:w="11910" w:h="16840"/>
          <w:pgMar w:top="1580" w:right="800" w:bottom="1600" w:left="920" w:header="0" w:footer="1326" w:gutter="0"/>
          <w:cols w:space="720" w:num="1"/>
        </w:sect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spacing w:before="5"/>
        <w:rPr>
          <w:rFonts w:ascii="方正小标宋简体"/>
          <w:sz w:val="17"/>
        </w:rPr>
      </w:pPr>
    </w:p>
    <w:p>
      <w:pPr>
        <w:spacing w:before="0" w:line="729" w:lineRule="exact"/>
        <w:ind w:left="412" w:right="532" w:firstLine="0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安丘市城区工矿仓储用地级别范围说明表</w:t>
      </w:r>
    </w:p>
    <w:p>
      <w:pPr>
        <w:pStyle w:val="3"/>
        <w:spacing w:before="11"/>
        <w:rPr>
          <w:rFonts w:ascii="方正小标宋简体"/>
          <w:sz w:val="4"/>
        </w:rPr>
      </w:pPr>
    </w:p>
    <w:tbl>
      <w:tblPr>
        <w:tblStyle w:val="4"/>
        <w:tblW w:w="0" w:type="auto"/>
        <w:tblInd w:w="24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82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93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8"/>
              <w:ind w:left="115" w:right="102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土地级别</w:t>
            </w:r>
          </w:p>
        </w:tc>
        <w:tc>
          <w:tcPr>
            <w:tcW w:w="820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tabs>
                <w:tab w:val="left" w:pos="1002"/>
              </w:tabs>
              <w:spacing w:before="148"/>
              <w:ind w:left="23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范</w:t>
            </w:r>
            <w:r>
              <w:rPr>
                <w:rFonts w:hint="eastAsia" w:ascii="黑体" w:eastAsia="黑体"/>
                <w:sz w:val="28"/>
              </w:rPr>
              <w:tab/>
            </w:r>
            <w:r>
              <w:rPr>
                <w:rFonts w:hint="eastAsia" w:ascii="黑体" w:eastAsia="黑体"/>
                <w:sz w:val="28"/>
              </w:rPr>
              <w:t>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9"/>
              <w:ind w:left="115" w:right="99"/>
              <w:jc w:val="center"/>
              <w:rPr>
                <w:rFonts w:hint="eastAsia" w:ascii="楷体_GB2312" w:eastAsia="楷体_GB2312"/>
                <w:i/>
                <w:sz w:val="28"/>
              </w:rPr>
            </w:pPr>
            <w:r>
              <w:rPr>
                <w:rFonts w:hint="eastAsia" w:ascii="楷体_GB2312" w:eastAsia="楷体_GB2312"/>
                <w:i/>
                <w:sz w:val="28"/>
              </w:rPr>
              <w:t>一级</w:t>
            </w:r>
          </w:p>
        </w:tc>
        <w:tc>
          <w:tcPr>
            <w:tcW w:w="8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49"/>
              <w:ind w:left="19"/>
              <w:rPr>
                <w:sz w:val="28"/>
              </w:rPr>
            </w:pPr>
            <w:r>
              <w:rPr>
                <w:sz w:val="28"/>
              </w:rPr>
              <w:t>北至长安路，东至新安路，南至和平路，西至华安路。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13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/>
              <w:rPr>
                <w:rFonts w:ascii="方正小标宋简体"/>
                <w:sz w:val="33"/>
              </w:rPr>
            </w:pPr>
          </w:p>
          <w:p>
            <w:pPr>
              <w:pStyle w:val="8"/>
              <w:spacing w:before="1"/>
              <w:ind w:left="115" w:right="99"/>
              <w:jc w:val="center"/>
              <w:rPr>
                <w:rFonts w:hint="eastAsia" w:ascii="楷体_GB2312" w:eastAsia="楷体_GB2312"/>
                <w:i/>
                <w:sz w:val="28"/>
              </w:rPr>
            </w:pPr>
            <w:r>
              <w:rPr>
                <w:rFonts w:hint="eastAsia" w:ascii="楷体_GB2312" w:eastAsia="楷体_GB2312"/>
                <w:i/>
                <w:sz w:val="28"/>
              </w:rPr>
              <w:t>二级</w:t>
            </w:r>
          </w:p>
        </w:tc>
        <w:tc>
          <w:tcPr>
            <w:tcW w:w="8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86"/>
              <w:ind w:left="19"/>
              <w:rPr>
                <w:sz w:val="28"/>
              </w:rPr>
            </w:pPr>
            <w:r>
              <w:rPr>
                <w:sz w:val="28"/>
              </w:rPr>
              <w:t>北至黄山西街、黄山东街，东至东湖路、莲花山东路、墨溪河、文</w:t>
            </w:r>
          </w:p>
          <w:p>
            <w:pPr>
              <w:pStyle w:val="8"/>
              <w:spacing w:before="2" w:line="500" w:lineRule="atLeast"/>
              <w:ind w:left="19" w:right="51"/>
              <w:rPr>
                <w:sz w:val="28"/>
              </w:rPr>
            </w:pPr>
            <w:r>
              <w:rPr>
                <w:sz w:val="28"/>
              </w:rPr>
              <w:t>化路、二</w:t>
            </w:r>
            <w:r>
              <w:rPr>
                <w:rFonts w:hint="eastAsia" w:ascii="宋体" w:eastAsia="宋体"/>
                <w:sz w:val="28"/>
              </w:rPr>
              <w:t>〇</w:t>
            </w:r>
            <w:r>
              <w:rPr>
                <w:sz w:val="28"/>
              </w:rPr>
              <w:t>六国道，南至南苑路，西至汶水南路、潍徐北路、西外环路。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3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方正小标宋简体"/>
                <w:sz w:val="19"/>
              </w:rPr>
            </w:pPr>
          </w:p>
          <w:p>
            <w:pPr>
              <w:pStyle w:val="8"/>
              <w:spacing w:before="1"/>
              <w:ind w:left="115" w:right="99"/>
              <w:jc w:val="center"/>
              <w:rPr>
                <w:rFonts w:hint="eastAsia" w:ascii="楷体_GB2312" w:eastAsia="楷体_GB2312"/>
                <w:i/>
                <w:sz w:val="28"/>
              </w:rPr>
            </w:pPr>
            <w:r>
              <w:rPr>
                <w:rFonts w:hint="eastAsia" w:ascii="楷体_GB2312" w:eastAsia="楷体_GB2312"/>
                <w:i/>
                <w:sz w:val="28"/>
              </w:rPr>
              <w:t>三级</w:t>
            </w:r>
          </w:p>
        </w:tc>
        <w:tc>
          <w:tcPr>
            <w:tcW w:w="8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87"/>
              <w:ind w:left="19"/>
              <w:rPr>
                <w:sz w:val="28"/>
              </w:rPr>
            </w:pPr>
            <w:r>
              <w:rPr>
                <w:sz w:val="28"/>
              </w:rPr>
              <w:t>北至昆仑大街、青龙湖东路，东至青云湖路、二</w:t>
            </w:r>
            <w:r>
              <w:rPr>
                <w:rFonts w:hint="eastAsia" w:ascii="宋体" w:eastAsia="宋体"/>
                <w:sz w:val="28"/>
              </w:rPr>
              <w:t>〇</w:t>
            </w:r>
            <w:r>
              <w:rPr>
                <w:sz w:val="28"/>
              </w:rPr>
              <w:t>六国道，南至凯</w:t>
            </w:r>
          </w:p>
          <w:p>
            <w:pPr>
              <w:pStyle w:val="8"/>
              <w:spacing w:before="141"/>
              <w:ind w:left="19"/>
              <w:rPr>
                <w:sz w:val="28"/>
              </w:rPr>
            </w:pPr>
            <w:r>
              <w:rPr>
                <w:sz w:val="28"/>
              </w:rPr>
              <w:t>特路，西至西环路、潍日高速、行政界线。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393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9"/>
              <w:ind w:left="115" w:right="99"/>
              <w:jc w:val="center"/>
              <w:rPr>
                <w:rFonts w:hint="eastAsia" w:ascii="楷体_GB2312" w:eastAsia="楷体_GB2312"/>
                <w:i/>
                <w:sz w:val="28"/>
              </w:rPr>
            </w:pPr>
            <w:r>
              <w:rPr>
                <w:rFonts w:hint="eastAsia" w:ascii="楷体_GB2312" w:eastAsia="楷体_GB2312"/>
                <w:i/>
                <w:sz w:val="28"/>
              </w:rPr>
              <w:t>四级</w:t>
            </w:r>
          </w:p>
        </w:tc>
        <w:tc>
          <w:tcPr>
            <w:tcW w:w="8207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spacing w:before="149"/>
              <w:ind w:left="19"/>
              <w:rPr>
                <w:sz w:val="28"/>
              </w:rPr>
            </w:pPr>
            <w:r>
              <w:rPr>
                <w:sz w:val="28"/>
              </w:rPr>
              <w:t>评价范围内除一、二、三级地以外的区域。</w:t>
            </w:r>
          </w:p>
        </w:tc>
      </w:tr>
    </w:tbl>
    <w:p>
      <w:pPr>
        <w:pStyle w:val="3"/>
        <w:spacing w:before="17"/>
        <w:rPr>
          <w:rFonts w:ascii="方正小标宋简体"/>
          <w:sz w:val="39"/>
        </w:rPr>
      </w:pPr>
    </w:p>
    <w:p>
      <w:pPr>
        <w:spacing w:before="0" w:line="172" w:lineRule="auto"/>
        <w:ind w:left="412" w:right="532" w:firstLine="0"/>
        <w:jc w:val="center"/>
        <w:rPr>
          <w:rFonts w:hint="eastAsia" w:ascii="方正小标宋简体" w:eastAsia="方正小标宋简体"/>
          <w:sz w:val="44"/>
        </w:rPr>
      </w:pPr>
      <w:r>
        <w:pict>
          <v:shape id="_x0000_s1030" o:spid="_x0000_s1030" o:spt="202" type="#_x0000_t202" style="position:absolute;left:0pt;margin-left:57.15pt;margin-top:54.55pt;height:220.15pt;width:481.45pt;mso-position-horizontal-relative:page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1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93"/>
                    <w:gridCol w:w="8207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9" w:hRule="atLeast"/>
                    </w:trPr>
                    <w:tc>
                      <w:tcPr>
                        <w:tcW w:w="1393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48"/>
                          <w:ind w:left="115" w:right="102"/>
                          <w:jc w:val="center"/>
                          <w:rPr>
                            <w:rFonts w:hint="eastAsia" w:ascii="黑体" w:eastAsia="黑体"/>
                            <w:sz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8"/>
                          </w:rPr>
                          <w:t>土地级别</w:t>
                        </w:r>
                      </w:p>
                    </w:tc>
                    <w:tc>
                      <w:tcPr>
                        <w:tcW w:w="8207" w:type="dxa"/>
                        <w:tcBorders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tabs>
                            <w:tab w:val="left" w:pos="1002"/>
                          </w:tabs>
                          <w:spacing w:before="148"/>
                          <w:ind w:left="23"/>
                          <w:jc w:val="center"/>
                          <w:rPr>
                            <w:rFonts w:hint="eastAsia" w:ascii="黑体" w:eastAsia="黑体"/>
                            <w:sz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8"/>
                          </w:rPr>
                          <w:t>范</w:t>
                        </w:r>
                        <w:r>
                          <w:rPr>
                            <w:rFonts w:hint="eastAsia" w:ascii="黑体" w:eastAsia="黑体"/>
                            <w:sz w:val="28"/>
                          </w:rPr>
                          <w:tab/>
                        </w:r>
                        <w:r>
                          <w:rPr>
                            <w:rFonts w:hint="eastAsia" w:ascii="黑体" w:eastAsia="黑体"/>
                            <w:sz w:val="28"/>
                          </w:rPr>
                          <w:t>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15" w:hRule="atLeast"/>
                    </w:trPr>
                    <w:tc>
                      <w:tcPr>
                        <w:tcW w:w="1393" w:type="dxa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rFonts w:ascii="方正小标宋简体"/>
                            <w:sz w:val="19"/>
                          </w:rPr>
                        </w:pPr>
                      </w:p>
                      <w:p>
                        <w:pPr>
                          <w:pStyle w:val="8"/>
                          <w:ind w:left="115" w:right="99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一级</w:t>
                        </w:r>
                      </w:p>
                    </w:tc>
                    <w:tc>
                      <w:tcPr>
                        <w:tcW w:w="82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87"/>
                          <w:ind w:left="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北至莲花山东路、青云大街、外食街，东至文化路，南至南苑路，</w:t>
                        </w:r>
                      </w:p>
                      <w:p>
                        <w:pPr>
                          <w:pStyle w:val="8"/>
                          <w:spacing w:before="140"/>
                          <w:ind w:left="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西至滨河路、永安路、新安路。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15" w:hRule="atLeast"/>
                    </w:trPr>
                    <w:tc>
                      <w:tcPr>
                        <w:tcW w:w="1393" w:type="dxa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rFonts w:ascii="方正小标宋简体"/>
                            <w:sz w:val="19"/>
                          </w:rPr>
                        </w:pPr>
                      </w:p>
                      <w:p>
                        <w:pPr>
                          <w:pStyle w:val="8"/>
                          <w:ind w:left="115" w:right="99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二级</w:t>
                        </w:r>
                      </w:p>
                    </w:tc>
                    <w:tc>
                      <w:tcPr>
                        <w:tcW w:w="82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87"/>
                          <w:ind w:left="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北至外食街、泰山西街、泰山东街，东至莲花山东路、金汶路，南</w:t>
                        </w:r>
                      </w:p>
                      <w:p>
                        <w:pPr>
                          <w:pStyle w:val="8"/>
                          <w:spacing w:before="140"/>
                          <w:ind w:left="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至双丰大道路，西至西外环路、潍徐北路、汶水南路。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15" w:hRule="atLeast"/>
                    </w:trPr>
                    <w:tc>
                      <w:tcPr>
                        <w:tcW w:w="1393" w:type="dxa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rFonts w:ascii="方正小标宋简体"/>
                            <w:sz w:val="19"/>
                          </w:rPr>
                        </w:pPr>
                      </w:p>
                      <w:p>
                        <w:pPr>
                          <w:pStyle w:val="8"/>
                          <w:ind w:left="115" w:right="99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三级</w:t>
                        </w:r>
                      </w:p>
                    </w:tc>
                    <w:tc>
                      <w:tcPr>
                        <w:tcW w:w="82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86"/>
                          <w:ind w:left="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北至青龙湖西路、青龙湖东路，东至青龙湖路，南至凯特路，西至</w:t>
                        </w:r>
                      </w:p>
                      <w:p>
                        <w:pPr>
                          <w:pStyle w:val="8"/>
                          <w:spacing w:before="141"/>
                          <w:ind w:left="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潍日高速、西外环路、行政界线。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8" w:hRule="atLeast"/>
                    </w:trPr>
                    <w:tc>
                      <w:tcPr>
                        <w:tcW w:w="1393" w:type="dxa"/>
                        <w:tcBorders>
                          <w:top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49"/>
                          <w:ind w:left="115" w:right="99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四级</w:t>
                        </w:r>
                      </w:p>
                    </w:tc>
                    <w:tc>
                      <w:tcPr>
                        <w:tcW w:w="8207" w:type="dxa"/>
                        <w:tcBorders>
                          <w:top w:val="single" w:color="000000" w:sz="4" w:space="0"/>
                          <w:lef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49"/>
                          <w:ind w:left="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评价范围内除一、二、三级地以外的区域。</w:t>
                        </w: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rFonts w:hint="eastAsia" w:ascii="方正小标宋简体" w:eastAsia="方正小标宋简体"/>
          <w:sz w:val="44"/>
        </w:rPr>
        <w:t>安丘市城区机关团体、新闻出版、教育、科研、文化设施、体育用地级别范围说明表</w:t>
      </w:r>
    </w:p>
    <w:p>
      <w:pPr>
        <w:spacing w:after="0" w:line="172" w:lineRule="auto"/>
        <w:jc w:val="center"/>
        <w:rPr>
          <w:rFonts w:hint="eastAsia" w:ascii="方正小标宋简体" w:eastAsia="方正小标宋简体"/>
          <w:sz w:val="44"/>
        </w:rPr>
        <w:sectPr>
          <w:pgSz w:w="11910" w:h="16840"/>
          <w:pgMar w:top="1580" w:right="800" w:bottom="1520" w:left="920" w:header="0" w:footer="1406" w:gutter="0"/>
          <w:cols w:space="720" w:num="1"/>
        </w:sectPr>
      </w:pPr>
    </w:p>
    <w:p>
      <w:pPr>
        <w:pStyle w:val="3"/>
        <w:spacing w:before="13"/>
        <w:rPr>
          <w:rFonts w:ascii="方正小标宋简体"/>
          <w:sz w:val="25"/>
        </w:rPr>
      </w:pPr>
    </w:p>
    <w:p>
      <w:pPr>
        <w:spacing w:before="97" w:line="172" w:lineRule="auto"/>
        <w:ind w:left="632" w:right="753" w:firstLine="0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pacing w:val="-1"/>
          <w:sz w:val="44"/>
        </w:rPr>
        <w:t>安丘市城区医疗卫生、社会福利用地级别范围</w:t>
      </w:r>
      <w:r>
        <w:rPr>
          <w:rFonts w:hint="eastAsia" w:ascii="方正小标宋简体" w:eastAsia="方正小标宋简体"/>
          <w:sz w:val="44"/>
        </w:rPr>
        <w:t>说明表</w:t>
      </w:r>
    </w:p>
    <w:tbl>
      <w:tblPr>
        <w:tblStyle w:val="4"/>
        <w:tblW w:w="0" w:type="auto"/>
        <w:tblInd w:w="24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82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93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8"/>
              <w:ind w:left="115" w:right="102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土地级别</w:t>
            </w:r>
          </w:p>
        </w:tc>
        <w:tc>
          <w:tcPr>
            <w:tcW w:w="820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tabs>
                <w:tab w:val="left" w:pos="1002"/>
              </w:tabs>
              <w:spacing w:before="118"/>
              <w:ind w:left="23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范</w:t>
            </w:r>
            <w:r>
              <w:rPr>
                <w:rFonts w:hint="eastAsia" w:ascii="黑体" w:eastAsia="黑体"/>
                <w:sz w:val="28"/>
              </w:rPr>
              <w:tab/>
            </w:r>
            <w:r>
              <w:rPr>
                <w:rFonts w:hint="eastAsia" w:ascii="黑体" w:eastAsia="黑体"/>
                <w:sz w:val="28"/>
              </w:rPr>
              <w:t>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3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/>
              <w:rPr>
                <w:rFonts w:ascii="方正小标宋简体"/>
                <w:sz w:val="17"/>
              </w:rPr>
            </w:pPr>
          </w:p>
          <w:p>
            <w:pPr>
              <w:pStyle w:val="8"/>
              <w:ind w:left="115" w:right="99"/>
              <w:jc w:val="center"/>
              <w:rPr>
                <w:rFonts w:hint="eastAsia" w:ascii="楷体_GB2312" w:eastAsia="楷体_GB2312"/>
                <w:i/>
                <w:sz w:val="28"/>
              </w:rPr>
            </w:pPr>
            <w:r>
              <w:rPr>
                <w:rFonts w:hint="eastAsia" w:ascii="楷体_GB2312" w:eastAsia="楷体_GB2312"/>
                <w:i/>
                <w:sz w:val="28"/>
              </w:rPr>
              <w:t>一级</w:t>
            </w:r>
          </w:p>
        </w:tc>
        <w:tc>
          <w:tcPr>
            <w:tcW w:w="8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57"/>
              <w:ind w:left="19"/>
              <w:rPr>
                <w:sz w:val="28"/>
              </w:rPr>
            </w:pPr>
            <w:r>
              <w:rPr>
                <w:sz w:val="28"/>
              </w:rPr>
              <w:t>北至锦山街、汶河、莲花山路、青云大街，东至文化路，南至南苑</w:t>
            </w:r>
          </w:p>
          <w:p>
            <w:pPr>
              <w:pStyle w:val="8"/>
              <w:spacing w:before="141"/>
              <w:ind w:left="19"/>
              <w:rPr>
                <w:sz w:val="28"/>
              </w:rPr>
            </w:pPr>
            <w:r>
              <w:rPr>
                <w:sz w:val="28"/>
              </w:rPr>
              <w:t>路，西至滨河路、潍徐北路、汶水南路、新安路。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3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/>
              <w:rPr>
                <w:rFonts w:ascii="方正小标宋简体"/>
                <w:sz w:val="17"/>
              </w:rPr>
            </w:pPr>
          </w:p>
          <w:p>
            <w:pPr>
              <w:pStyle w:val="8"/>
              <w:ind w:left="115" w:right="99"/>
              <w:jc w:val="center"/>
              <w:rPr>
                <w:rFonts w:hint="eastAsia" w:ascii="楷体_GB2312" w:eastAsia="楷体_GB2312"/>
                <w:i/>
                <w:sz w:val="28"/>
              </w:rPr>
            </w:pPr>
            <w:r>
              <w:rPr>
                <w:rFonts w:hint="eastAsia" w:ascii="楷体_GB2312" w:eastAsia="楷体_GB2312"/>
                <w:i/>
                <w:sz w:val="28"/>
              </w:rPr>
              <w:t>二级</w:t>
            </w:r>
          </w:p>
        </w:tc>
        <w:tc>
          <w:tcPr>
            <w:tcW w:w="8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57"/>
              <w:ind w:left="19"/>
              <w:rPr>
                <w:sz w:val="28"/>
              </w:rPr>
            </w:pPr>
            <w:r>
              <w:rPr>
                <w:sz w:val="28"/>
              </w:rPr>
              <w:t>北至黄山西街、黄山东街，东至莲花山东路、金汶路，南至双丰大</w:t>
            </w:r>
          </w:p>
          <w:p>
            <w:pPr>
              <w:pStyle w:val="8"/>
              <w:spacing w:before="140"/>
              <w:ind w:left="19"/>
              <w:rPr>
                <w:sz w:val="28"/>
              </w:rPr>
            </w:pPr>
            <w:r>
              <w:rPr>
                <w:sz w:val="28"/>
              </w:rPr>
              <w:t>道，西至西外环、潍徐北路、汶水南路。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3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ascii="方正小标宋简体"/>
                <w:sz w:val="17"/>
              </w:rPr>
            </w:pPr>
          </w:p>
          <w:p>
            <w:pPr>
              <w:pStyle w:val="8"/>
              <w:spacing w:before="1"/>
              <w:ind w:left="115" w:right="99"/>
              <w:jc w:val="center"/>
              <w:rPr>
                <w:rFonts w:hint="eastAsia" w:ascii="楷体_GB2312" w:eastAsia="楷体_GB2312"/>
                <w:i/>
                <w:sz w:val="28"/>
              </w:rPr>
            </w:pPr>
            <w:r>
              <w:rPr>
                <w:rFonts w:hint="eastAsia" w:ascii="楷体_GB2312" w:eastAsia="楷体_GB2312"/>
                <w:i/>
                <w:sz w:val="28"/>
              </w:rPr>
              <w:t>三级</w:t>
            </w:r>
          </w:p>
        </w:tc>
        <w:tc>
          <w:tcPr>
            <w:tcW w:w="8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57"/>
              <w:ind w:left="19"/>
              <w:rPr>
                <w:sz w:val="28"/>
              </w:rPr>
            </w:pPr>
            <w:r>
              <w:rPr>
                <w:sz w:val="28"/>
              </w:rPr>
              <w:t>北至青龙湖西路、青龙湖东路，东至青龙湖路，南至凯特路，西至</w:t>
            </w:r>
          </w:p>
          <w:p>
            <w:pPr>
              <w:pStyle w:val="8"/>
              <w:spacing w:before="140"/>
              <w:ind w:left="19"/>
              <w:rPr>
                <w:sz w:val="28"/>
              </w:rPr>
            </w:pPr>
            <w:r>
              <w:rPr>
                <w:sz w:val="28"/>
              </w:rPr>
              <w:t>西外环路、潍日高速、行政界线。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393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9"/>
              <w:ind w:left="115" w:right="99"/>
              <w:jc w:val="center"/>
              <w:rPr>
                <w:rFonts w:hint="eastAsia" w:ascii="楷体_GB2312" w:eastAsia="楷体_GB2312"/>
                <w:i/>
                <w:sz w:val="28"/>
              </w:rPr>
            </w:pPr>
            <w:r>
              <w:rPr>
                <w:rFonts w:hint="eastAsia" w:ascii="楷体_GB2312" w:eastAsia="楷体_GB2312"/>
                <w:i/>
                <w:sz w:val="28"/>
              </w:rPr>
              <w:t>四级</w:t>
            </w:r>
          </w:p>
        </w:tc>
        <w:tc>
          <w:tcPr>
            <w:tcW w:w="8207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spacing w:before="119"/>
              <w:ind w:left="19"/>
              <w:rPr>
                <w:sz w:val="28"/>
              </w:rPr>
            </w:pPr>
            <w:r>
              <w:rPr>
                <w:sz w:val="28"/>
              </w:rPr>
              <w:t>评价范围内除一、二、三级地以外的区域。</w:t>
            </w:r>
          </w:p>
        </w:tc>
      </w:tr>
    </w:tbl>
    <w:p>
      <w:pPr>
        <w:pStyle w:val="3"/>
        <w:spacing w:before="13"/>
        <w:rPr>
          <w:rFonts w:ascii="方正小标宋简体"/>
          <w:sz w:val="33"/>
        </w:rPr>
      </w:pPr>
    </w:p>
    <w:p>
      <w:pPr>
        <w:spacing w:before="0" w:line="172" w:lineRule="auto"/>
        <w:ind w:left="412" w:right="532" w:firstLine="0"/>
        <w:jc w:val="center"/>
        <w:rPr>
          <w:rFonts w:hint="eastAsia" w:ascii="方正小标宋简体" w:eastAsia="方正小标宋简体"/>
          <w:sz w:val="44"/>
        </w:rPr>
      </w:pPr>
      <w:r>
        <w:pict>
          <v:shape id="_x0000_s1031" o:spid="_x0000_s1031" o:spt="202" type="#_x0000_t202" style="position:absolute;left:0pt;margin-left:57.15pt;margin-top:54.55pt;height:220.15pt;width:481.45pt;mso-position-horizontal-relative:page;z-index:2516633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1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93"/>
                    <w:gridCol w:w="8207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9" w:hRule="atLeast"/>
                    </w:trPr>
                    <w:tc>
                      <w:tcPr>
                        <w:tcW w:w="1393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48"/>
                          <w:ind w:left="115" w:right="102"/>
                          <w:jc w:val="center"/>
                          <w:rPr>
                            <w:rFonts w:hint="eastAsia" w:ascii="黑体" w:eastAsia="黑体"/>
                            <w:sz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8"/>
                          </w:rPr>
                          <w:t>土地级别</w:t>
                        </w:r>
                      </w:p>
                    </w:tc>
                    <w:tc>
                      <w:tcPr>
                        <w:tcW w:w="8207" w:type="dxa"/>
                        <w:tcBorders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tabs>
                            <w:tab w:val="left" w:pos="1002"/>
                          </w:tabs>
                          <w:spacing w:before="148"/>
                          <w:ind w:left="23"/>
                          <w:jc w:val="center"/>
                          <w:rPr>
                            <w:rFonts w:hint="eastAsia" w:ascii="黑体" w:eastAsia="黑体"/>
                            <w:sz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8"/>
                          </w:rPr>
                          <w:t>范</w:t>
                        </w:r>
                        <w:r>
                          <w:rPr>
                            <w:rFonts w:hint="eastAsia" w:ascii="黑体" w:eastAsia="黑体"/>
                            <w:sz w:val="28"/>
                          </w:rPr>
                          <w:tab/>
                        </w:r>
                        <w:r>
                          <w:rPr>
                            <w:rFonts w:hint="eastAsia" w:ascii="黑体" w:eastAsia="黑体"/>
                            <w:sz w:val="28"/>
                          </w:rPr>
                          <w:t>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14" w:hRule="atLeast"/>
                    </w:trPr>
                    <w:tc>
                      <w:tcPr>
                        <w:tcW w:w="1393" w:type="dxa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3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8"/>
                          <w:ind w:left="115" w:right="99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一级</w:t>
                        </w:r>
                      </w:p>
                    </w:tc>
                    <w:tc>
                      <w:tcPr>
                        <w:tcW w:w="82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87"/>
                          <w:ind w:left="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北至阳春路、青云大街，东至文化路、新安路，南至和平路，西至</w:t>
                        </w:r>
                      </w:p>
                      <w:p>
                        <w:pPr>
                          <w:pStyle w:val="8"/>
                          <w:spacing w:before="140"/>
                          <w:ind w:left="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华安路、永安路、新安路。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15" w:hRule="atLeast"/>
                    </w:trPr>
                    <w:tc>
                      <w:tcPr>
                        <w:tcW w:w="1393" w:type="dxa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3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8"/>
                          <w:ind w:left="115" w:right="99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二级</w:t>
                        </w:r>
                      </w:p>
                    </w:tc>
                    <w:tc>
                      <w:tcPr>
                        <w:tcW w:w="82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87"/>
                          <w:ind w:left="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北至锦山街、外食街、黄山西街、黄山东街，东至东湖路、莲花山</w:t>
                        </w:r>
                      </w:p>
                      <w:p>
                        <w:pPr>
                          <w:pStyle w:val="8"/>
                          <w:spacing w:before="140"/>
                          <w:ind w:left="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东路、金汶路，南至南苑路，西至西外环路、潍徐北路、汶水南路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15" w:hRule="atLeast"/>
                    </w:trPr>
                    <w:tc>
                      <w:tcPr>
                        <w:tcW w:w="1393" w:type="dxa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3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8"/>
                          <w:ind w:left="115" w:right="99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三级</w:t>
                        </w:r>
                      </w:p>
                    </w:tc>
                    <w:tc>
                      <w:tcPr>
                        <w:tcW w:w="82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86"/>
                          <w:ind w:left="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北至莲花山西路、昆仑大街、青龙湖东路，东至青云湖路，南至凯</w:t>
                        </w:r>
                      </w:p>
                      <w:p>
                        <w:pPr>
                          <w:pStyle w:val="8"/>
                          <w:spacing w:before="143"/>
                          <w:ind w:left="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特路，西至潍日高速、西外环路、珠江路。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8" w:hRule="atLeast"/>
                    </w:trPr>
                    <w:tc>
                      <w:tcPr>
                        <w:tcW w:w="1393" w:type="dxa"/>
                        <w:tcBorders>
                          <w:top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49"/>
                          <w:ind w:left="115" w:right="99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四级</w:t>
                        </w:r>
                      </w:p>
                    </w:tc>
                    <w:tc>
                      <w:tcPr>
                        <w:tcW w:w="8207" w:type="dxa"/>
                        <w:tcBorders>
                          <w:top w:val="single" w:color="000000" w:sz="4" w:space="0"/>
                          <w:lef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49"/>
                          <w:ind w:left="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评价范围内除一、二、三级地以外的区域。</w:t>
                        </w: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rFonts w:hint="eastAsia" w:ascii="方正小标宋简体" w:eastAsia="方正小标宋简体"/>
          <w:spacing w:val="-1"/>
          <w:sz w:val="44"/>
        </w:rPr>
        <w:t>安丘市城区公用设施用地、公园与绿地级别范围</w:t>
      </w:r>
      <w:r>
        <w:rPr>
          <w:rFonts w:hint="eastAsia" w:ascii="方正小标宋简体" w:eastAsia="方正小标宋简体"/>
          <w:sz w:val="44"/>
        </w:rPr>
        <w:t>说明表</w:t>
      </w:r>
    </w:p>
    <w:p>
      <w:pPr>
        <w:pStyle w:val="3"/>
        <w:rPr>
          <w:rFonts w:ascii="方正小标宋简体"/>
          <w:sz w:val="44"/>
        </w:rPr>
      </w:pPr>
    </w:p>
    <w:p>
      <w:pPr>
        <w:pStyle w:val="3"/>
        <w:rPr>
          <w:rFonts w:ascii="方正小标宋简体"/>
          <w:sz w:val="44"/>
        </w:rPr>
      </w:pPr>
    </w:p>
    <w:p>
      <w:pPr>
        <w:pStyle w:val="3"/>
        <w:spacing w:before="2"/>
        <w:rPr>
          <w:rFonts w:ascii="方正小标宋简体"/>
          <w:sz w:val="39"/>
        </w:rPr>
      </w:pPr>
    </w:p>
    <w:p>
      <w:pPr>
        <w:spacing w:before="0"/>
        <w:ind w:left="0" w:right="224" w:firstLine="0"/>
        <w:jc w:val="right"/>
        <w:rPr>
          <w:sz w:val="28"/>
        </w:rPr>
      </w:pPr>
      <w:r>
        <w:rPr>
          <w:w w:val="100"/>
          <w:sz w:val="28"/>
        </w:rPr>
        <w:t>。</w:t>
      </w:r>
    </w:p>
    <w:p>
      <w:pPr>
        <w:spacing w:after="0"/>
        <w:jc w:val="right"/>
        <w:rPr>
          <w:sz w:val="28"/>
        </w:rPr>
        <w:sectPr>
          <w:pgSz w:w="11910" w:h="16840"/>
          <w:pgMar w:top="1580" w:right="800" w:bottom="1600" w:left="920" w:header="0" w:footer="1326" w:gutter="0"/>
          <w:cols w:space="720" w:num="1"/>
        </w:sectPr>
      </w:pPr>
    </w:p>
    <w:p>
      <w:pPr>
        <w:pStyle w:val="3"/>
        <w:spacing w:line="20" w:lineRule="exact"/>
        <w:rPr>
          <w:sz w:val="2"/>
        </w:rPr>
      </w:pPr>
      <w:bookmarkStart w:id="0" w:name="_GoBack"/>
      <w:bookmarkEnd w:id="0"/>
    </w:p>
    <w:sectPr>
      <w:pgSz w:w="11910" w:h="16840"/>
      <w:pgMar w:top="1580" w:right="800" w:bottom="1600" w:left="920" w:header="0" w:footer="132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68.75pt;margin-top:760.6pt;height:16.05pt;width:5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75.55pt;margin-top:760.6pt;height:16.05pt;width:51.1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178D730C"/>
    <w:rsid w:val="1DF36C85"/>
    <w:rsid w:val="1FFA5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12" w:right="529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6"/>
      <w:ind w:left="2180" w:hanging="322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2050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ScaleCrop>false</ScaleCrop>
  <LinksUpToDate>false</LinksUpToDate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2020-12-24T02:45:00Z</dcterms:created>
  <dc:creator>Administrator</dc:creator>
  <cp:lastModifiedBy>子梅</cp:lastModifiedBy>
  <dcterms:modified xsi:type="dcterms:W3CDTF">2020-12-26T01:29:21Z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2020-12-24T00:00:00Z</vt:filetime>
  </property>
  <property fmtid="{D5CDD505-2E9C-101B-9397-08002B2CF9AE}" pid="5" name="KSOProductBuildVer">
    <vt:lpwstr>2052-11.1.0.10000</vt:lpwstr>
  </property>
</Properties>
</file>