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50"/>
        <w:jc w:val="center"/>
        <w:outlineLvl w:val="2"/>
        <w:rPr>
          <w:rFonts w:hint="eastAsia" w:cs="宋体" w:asciiTheme="minorEastAsia" w:hAnsiTheme="minorEastAsia"/>
          <w:color w:val="000000"/>
          <w:spacing w:val="15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pacing w:before="100" w:beforeAutospacing="1" w:after="150"/>
        <w:jc w:val="center"/>
        <w:outlineLvl w:val="2"/>
        <w:rPr>
          <w:rFonts w:cs="宋体" w:asciiTheme="minorEastAsia" w:hAnsiTheme="minorEastAsia"/>
          <w:color w:val="000000"/>
          <w:spacing w:val="15"/>
          <w:kern w:val="0"/>
          <w:sz w:val="44"/>
          <w:szCs w:val="44"/>
        </w:rPr>
      </w:pPr>
      <w:r>
        <w:rPr>
          <w:rFonts w:hint="eastAsia" w:cs="宋体" w:asciiTheme="minorEastAsia" w:hAnsiTheme="minorEastAsia"/>
          <w:color w:val="000000"/>
          <w:spacing w:val="15"/>
          <w:kern w:val="0"/>
          <w:sz w:val="44"/>
          <w:szCs w:val="44"/>
        </w:rPr>
        <w:t>安丘市2018年上半年出生人口调研报告</w:t>
      </w:r>
    </w:p>
    <w:p>
      <w:pPr>
        <w:widowControl/>
        <w:shd w:val="clear" w:color="auto" w:fill="FFFFFF"/>
        <w:spacing w:beforeLines="50" w:afterLines="50" w:line="520" w:lineRule="exact"/>
        <w:ind w:firstLine="280" w:firstLineChars="100"/>
        <w:jc w:val="left"/>
        <w:rPr>
          <w:rFonts w:hint="eastAsia"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Lines="50" w:afterLines="50" w:line="520" w:lineRule="exact"/>
        <w:ind w:firstLine="28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了应对人口老龄化的社会问题，“全面二孩”政策自2016年1月1日起全面实施，标志着独生子女政策的终结。二孩政策的实施给新生人口数量带来显著变化，为应对其带来的影响必须采取相应措施，这对于国计民生具有的重要意义。</w:t>
      </w:r>
    </w:p>
    <w:p>
      <w:pPr>
        <w:widowControl/>
        <w:shd w:val="clear" w:color="auto" w:fill="FFFFFF"/>
        <w:spacing w:beforeLines="50" w:afterLines="50" w:line="52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及时反映2018年上半年出生人口和育龄妇女生育情况，了解和评估“全面二孩”政策实施效果，安丘市统计局联合卫计局选取了安丘市人民医院、安丘市妇幼保健医院、安丘市中医院、安丘市市立医院、安丘市石堆镇甘泉社区，进行了问卷调查。经过分析整理，现分析如下：</w:t>
      </w:r>
    </w:p>
    <w:p>
      <w:pPr>
        <w:widowControl/>
        <w:shd w:val="clear" w:color="auto" w:fill="FFFFFF"/>
        <w:spacing w:beforeLines="50" w:afterLines="50"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一、调查的基本情况</w:t>
      </w:r>
    </w:p>
    <w:p>
      <w:pPr>
        <w:widowControl/>
        <w:shd w:val="clear" w:color="auto" w:fill="FFFFFF"/>
        <w:spacing w:beforeLines="50" w:afterLines="50"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1、调查内容。本次调查的指标包括调查对象的基本情况和出生情况两个方面，涉及医院（助产机构）妇产科人员、床位设置，村（居）委会人口规模、人口流动情况，出生人口规模，出生人口分胎次数量等内容。</w:t>
      </w:r>
    </w:p>
    <w:p>
      <w:pPr>
        <w:widowControl/>
        <w:shd w:val="clear" w:color="auto" w:fill="FFFFFF"/>
        <w:spacing w:beforeLines="50" w:afterLines="50" w:line="520" w:lineRule="exact"/>
        <w:ind w:firstLine="63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2、调查方式。本次调查采取问卷调查和实地座谈相结合的方式。</w:t>
      </w:r>
    </w:p>
    <w:p>
      <w:pPr>
        <w:widowControl/>
        <w:shd w:val="clear" w:color="auto" w:fill="FFFFFF"/>
        <w:spacing w:beforeLines="50" w:afterLines="50"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3、调查对象。本次调查对象样本为4家县级医院，乡村的村级单位1个，进行实地面访填写调查问卷。</w:t>
      </w:r>
    </w:p>
    <w:p>
      <w:pPr>
        <w:widowControl/>
        <w:shd w:val="clear" w:color="auto" w:fill="FFFFFF"/>
        <w:spacing w:beforeLines="50" w:afterLines="50" w:line="520" w:lineRule="exact"/>
        <w:ind w:firstLine="630"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二、调查结果及特征</w:t>
      </w:r>
    </w:p>
    <w:p>
      <w:pPr>
        <w:widowControl/>
        <w:shd w:val="clear" w:color="auto" w:fill="FFFFFF"/>
        <w:spacing w:beforeLines="50" w:afterLines="50" w:line="520" w:lineRule="exact"/>
        <w:ind w:firstLine="63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1、医院基本情况良好。参与调查的4家县级医院具备出生信息省级联网的条件，且可以建立出生孩子与父母的电子档案，妇产科床位共计435张，儿科床位539张，妇产科工作人员283人，各个年度无明显变化。</w:t>
      </w:r>
    </w:p>
    <w:p>
      <w:pPr>
        <w:widowControl/>
        <w:shd w:val="clear" w:color="auto" w:fill="FFFFFF"/>
        <w:spacing w:beforeLines="50" w:afterLines="50" w:line="520" w:lineRule="exact"/>
        <w:ind w:firstLine="63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生育高峰趋于平缓。全面二孩政策放开后，全市调查的4家县级以上医院（助产机构）显示2017年为生育高峰，2018年妇产科孕检门诊量较上年同期有所减少，二孩生育高峰趋势逐渐平缓。2018年上半年4家参与调查医院接生孩子总数为6809人，较2017年上半年减少4119人，降幅37.69%，其中，二胎逆向拉动高达30.6%；预计2018年全年接生13859人，较2017年全年出生人口减少5387人，同比下降28.0%。</w:t>
      </w:r>
    </w:p>
    <w:p>
      <w:pPr>
        <w:widowControl/>
        <w:shd w:val="clear" w:color="auto" w:fill="FFFFFF"/>
        <w:spacing w:before="50" w:after="50" w:line="520" w:lineRule="exact"/>
        <w:ind w:firstLine="646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226060</wp:posOffset>
            </wp:positionV>
            <wp:extent cx="5652135" cy="3216910"/>
            <wp:effectExtent l="0" t="0" r="5715" b="2540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、各胎占比不均衡，二胎独领风骚。调查问卷显示，4家医院能明确区分接生孩子胎次，2018年上半年出生人口中，一胎1714人，二胎4879人，多胎198人，分别占全部接生孩子总数的25.2%，71.9%，2.9 %，与2017年基本持平。</w:t>
      </w:r>
    </w:p>
    <w:p>
      <w:pPr>
        <w:widowControl/>
        <w:shd w:val="clear" w:color="auto" w:fill="FFFFFF"/>
        <w:spacing w:before="50" w:after="50" w:line="52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50" w:after="50" w:line="240" w:lineRule="auto"/>
        <w:ind w:firstLine="320" w:firstLineChars="1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drawing>
          <wp:inline distT="0" distB="0" distL="114300" distR="114300">
            <wp:extent cx="5271135" cy="2416810"/>
            <wp:effectExtent l="0" t="0" r="5715" b="2540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50" w:after="50" w:line="520" w:lineRule="exact"/>
        <w:ind w:firstLine="320" w:firstLineChars="1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before="50" w:after="50" w:line="520" w:lineRule="exact"/>
        <w:ind w:firstLine="320" w:firstLineChars="1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“二孩”政策效应凸显。调研走访中了解，“全面二孩”政策的开放不仅是对城镇单位干部职工有生育意愿育龄妇女的福音，同时对于农村而言，政策效应较凸显。调查显示,2018年上半年,安丘市石堆镇甘泉社区2018年上半年出生人口71人，较2017年稍有回落，降幅22.0%，与四家医院的数据走势保持一致。</w:t>
      </w:r>
    </w:p>
    <w:p>
      <w:pPr>
        <w:widowControl/>
        <w:shd w:val="clear" w:color="auto" w:fill="FFFFFF"/>
        <w:spacing w:before="50" w:after="50"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三、存在的问题及对策</w:t>
      </w:r>
    </w:p>
    <w:p>
      <w:pPr>
        <w:widowControl/>
        <w:shd w:val="clear" w:color="auto" w:fill="FFFFFF"/>
        <w:spacing w:before="50" w:after="50" w:line="520" w:lineRule="exact"/>
        <w:ind w:firstLine="63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、计生医疗资源显紧张。二孩政策放开，短期内全市备孕妈妈和新生儿增加，与此同时也给全市计生医疗带来了较大的压力。调查了解，医院妇产科医生反映二孩政策开放后，妇产科孕检门诊量明显增多，住院分娩人数增加，产科人满为患，床位供求紧张，与此同时，医院的产床、妇产科工作人员、儿科床位确并未有倾斜性增加。建议医院积极应对孕产妇、幼儿人流量增加的现状，适当增加产科床位，妇产科医生，为孕妇提供良好的分娩环境，可靠的技术支持，同时，也减轻妇产科工作人员的工作量。　　</w:t>
      </w:r>
    </w:p>
    <w:p>
      <w:pPr>
        <w:widowControl/>
        <w:shd w:val="clear" w:color="auto" w:fill="FFFFFF"/>
        <w:spacing w:before="50" w:after="50" w:line="520" w:lineRule="exact"/>
        <w:ind w:firstLine="63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、育儿成本高昂。随着我国经济的发展，人们思想意识的提高，越发重视医疗、教育水平，为了上一所好学校，借风而起的学区房令家长们生畏，此起彼伏的私立学校收费也随之水涨船高，给工薪阶层的家长们带来了一定的经济负担。为了更好的培养孩子，让孩子有一个好的未来，父母更注重质量而非数量，这也是一胎、二胎占比大，多胎寥寥无几的重要原因之一。面对育儿成本大的问题，政府应该采取积极的措施，宏观调控教育、医疗等民生资源，促进医疗、师资力量、教育基础设施均等化，有效节省育儿成本。</w:t>
      </w:r>
    </w:p>
    <w:p>
      <w:pPr>
        <w:widowControl/>
        <w:shd w:val="clear" w:color="auto" w:fill="FFFFFF"/>
        <w:spacing w:before="50" w:after="50"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3、产后妈妈的职业危机不容小觑。70后到90后们承担着家庭重担，上有老下有小，面对“二胎政策”，心有余而力不足。产后如果做全职妈妈，那么家里就失去一份收入，经济压力增大；如果产后上班，则无暇顾及孩子且工作机会不尽如人意。社保政策对产后妈妈的保护几乎为零，这也使得很多职场中的育龄妇女放弃生育二孩。建议出台相应制度对产妇提供应有的社会保障，并严格监督执行，保障产妇权益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0E0"/>
    <w:rsid w:val="00006925"/>
    <w:rsid w:val="00033773"/>
    <w:rsid w:val="0007744E"/>
    <w:rsid w:val="000C26B0"/>
    <w:rsid w:val="00160BA7"/>
    <w:rsid w:val="00176C71"/>
    <w:rsid w:val="001A1071"/>
    <w:rsid w:val="001D1FA9"/>
    <w:rsid w:val="001E5E9C"/>
    <w:rsid w:val="00276BF8"/>
    <w:rsid w:val="002A5906"/>
    <w:rsid w:val="002F23A5"/>
    <w:rsid w:val="002F44BA"/>
    <w:rsid w:val="00324E0E"/>
    <w:rsid w:val="003354CB"/>
    <w:rsid w:val="003611C1"/>
    <w:rsid w:val="00373A79"/>
    <w:rsid w:val="00394BF6"/>
    <w:rsid w:val="003A3323"/>
    <w:rsid w:val="003B3085"/>
    <w:rsid w:val="003C0B5C"/>
    <w:rsid w:val="004130DF"/>
    <w:rsid w:val="004623FE"/>
    <w:rsid w:val="004B5BF5"/>
    <w:rsid w:val="004B5E4E"/>
    <w:rsid w:val="004B7ADD"/>
    <w:rsid w:val="004C0A64"/>
    <w:rsid w:val="004C2DE7"/>
    <w:rsid w:val="004C4195"/>
    <w:rsid w:val="00505E14"/>
    <w:rsid w:val="00551CFE"/>
    <w:rsid w:val="005D573D"/>
    <w:rsid w:val="005F4B77"/>
    <w:rsid w:val="00627DDF"/>
    <w:rsid w:val="006300E0"/>
    <w:rsid w:val="00646600"/>
    <w:rsid w:val="006C0E54"/>
    <w:rsid w:val="006E77BE"/>
    <w:rsid w:val="0081059A"/>
    <w:rsid w:val="00812436"/>
    <w:rsid w:val="00812561"/>
    <w:rsid w:val="00830624"/>
    <w:rsid w:val="0087453E"/>
    <w:rsid w:val="00883187"/>
    <w:rsid w:val="008B2A60"/>
    <w:rsid w:val="008B42DF"/>
    <w:rsid w:val="008B7A0A"/>
    <w:rsid w:val="008F2FE9"/>
    <w:rsid w:val="009066F6"/>
    <w:rsid w:val="00956D29"/>
    <w:rsid w:val="00984559"/>
    <w:rsid w:val="009A32F9"/>
    <w:rsid w:val="00A4250B"/>
    <w:rsid w:val="00AA4AC1"/>
    <w:rsid w:val="00AC4E33"/>
    <w:rsid w:val="00AD6F76"/>
    <w:rsid w:val="00AE4EE8"/>
    <w:rsid w:val="00AE6D38"/>
    <w:rsid w:val="00B47781"/>
    <w:rsid w:val="00B5478C"/>
    <w:rsid w:val="00B83133"/>
    <w:rsid w:val="00BA4C31"/>
    <w:rsid w:val="00C352D8"/>
    <w:rsid w:val="00C97DAA"/>
    <w:rsid w:val="00CE5A38"/>
    <w:rsid w:val="00D21DB3"/>
    <w:rsid w:val="00D8722D"/>
    <w:rsid w:val="00DC3450"/>
    <w:rsid w:val="00DC5868"/>
    <w:rsid w:val="00DE0009"/>
    <w:rsid w:val="00DF4A11"/>
    <w:rsid w:val="00E03297"/>
    <w:rsid w:val="00E05E89"/>
    <w:rsid w:val="00E20BBC"/>
    <w:rsid w:val="00E46712"/>
    <w:rsid w:val="00E62E7B"/>
    <w:rsid w:val="00E736EB"/>
    <w:rsid w:val="00EA5E43"/>
    <w:rsid w:val="00EB61EF"/>
    <w:rsid w:val="00EC32A4"/>
    <w:rsid w:val="00EC5169"/>
    <w:rsid w:val="00EF0584"/>
    <w:rsid w:val="00FA1305"/>
    <w:rsid w:val="064609AC"/>
    <w:rsid w:val="0D362155"/>
    <w:rsid w:val="1BE52C53"/>
    <w:rsid w:val="579A68BB"/>
    <w:rsid w:val="7B2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00"/>
      <w:u w:val="none"/>
    </w:rPr>
  </w:style>
  <w:style w:type="character" w:customStyle="1" w:styleId="10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2">
    <w:name w:val="标题 3 Char"/>
    <w:basedOn w:val="6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p_from1"/>
    <w:basedOn w:val="6"/>
    <w:uiPriority w:val="0"/>
    <w:rPr>
      <w:color w:val="555555"/>
    </w:rPr>
  </w:style>
  <w:style w:type="paragraph" w:customStyle="1" w:styleId="14">
    <w:name w:val="p_zoo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&#20108;&#23401;&#35843;&#26597;\&#20108;&#23401;&#25968;&#25454;&#27719;&#2463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000">
                <a:latin typeface="+mn-ea"/>
                <a:ea typeface="+mn-ea"/>
              </a:rPr>
              <a:t>图</a:t>
            </a:r>
            <a:r>
              <a:rPr lang="en-US" altLang="zh-CN" sz="1000">
                <a:latin typeface="+mn-ea"/>
                <a:ea typeface="+mn-ea"/>
              </a:rPr>
              <a:t>1 </a:t>
            </a:r>
            <a:r>
              <a:rPr lang="zh-CN" altLang="en-US" sz="1000">
                <a:latin typeface="+mn-ea"/>
                <a:ea typeface="+mn-ea"/>
              </a:rPr>
              <a:t>人口趋势图</a:t>
            </a:r>
            <a:endParaRPr lang="zh-CN" altLang="en-US" sz="1000">
              <a:latin typeface="+mn-ea"/>
              <a:ea typeface="+mn-ea"/>
            </a:endParaRP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"半年出生人口"</c:f>
              <c:strCache>
                <c:ptCount val="1"/>
                <c:pt idx="0">
                  <c:v>半年出生人口</c:v>
                </c:pt>
              </c:strCache>
            </c:strRef>
          </c:tx>
          <c:spPr>
            <a:ln w="28575" cap="rnd" cmpd="sng" algn="ctr">
              <a:solidFill>
                <a:srgbClr val="00B050"/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([二孩数据汇总.xlsx]Sheet1!$H$1,[二孩数据汇总.xlsx]Sheet1!$S$1,[二孩数据汇总.xlsx]Sheet1!$AC$2)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预计2018年</c:v>
                </c:pt>
              </c:strCache>
            </c:strRef>
          </c:cat>
          <c:val>
            <c:numRef>
              <c:f>([二孩数据汇总.xlsx]Sheet1!$G$7,[二孩数据汇总.xlsx]Sheet1!$O$7,[二孩数据汇总.xlsx]Sheet1!$Z$7)</c:f>
              <c:numCache>
                <c:formatCode>General</c:formatCode>
                <c:ptCount val="3"/>
                <c:pt idx="0">
                  <c:v>6572</c:v>
                </c:pt>
                <c:pt idx="1">
                  <c:v>10928</c:v>
                </c:pt>
                <c:pt idx="2">
                  <c:v>6809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"全年出生人口"</c:f>
              <c:strCache>
                <c:ptCount val="1"/>
                <c:pt idx="0">
                  <c:v>全年出生人口</c:v>
                </c:pt>
              </c:strCache>
            </c:strRef>
          </c:tx>
          <c:spPr>
            <a:ln w="28575" cap="rnd" cmpd="sng" algn="ctr">
              <a:solidFill>
                <a:srgbClr val="FF0000"/>
              </a:solidFill>
              <a:prstDash val="solid"/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([二孩数据汇总.xlsx]Sheet1!$H$1,[二孩数据汇总.xlsx]Sheet1!$S$1,[二孩数据汇总.xlsx]Sheet1!$AC$2)</c:f>
              <c:strCache>
                <c:ptCount val="3"/>
                <c:pt idx="0">
                  <c:v>2016年</c:v>
                </c:pt>
                <c:pt idx="1">
                  <c:v>2017年</c:v>
                </c:pt>
                <c:pt idx="2">
                  <c:v>预计2018年</c:v>
                </c:pt>
              </c:strCache>
            </c:strRef>
          </c:cat>
          <c:val>
            <c:numRef>
              <c:f>([二孩数据汇总.xlsx]Sheet1!$H$7,[二孩数据汇总.xlsx]Sheet1!$S$7,[二孩数据汇总.xlsx]Sheet1!$AC$7)</c:f>
              <c:numCache>
                <c:formatCode>General</c:formatCode>
                <c:ptCount val="3"/>
                <c:pt idx="0">
                  <c:v>17349</c:v>
                </c:pt>
                <c:pt idx="1">
                  <c:v>19246</c:v>
                </c:pt>
                <c:pt idx="2">
                  <c:v>13859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97147264"/>
        <c:axId val="197165440"/>
      </c:lineChart>
      <c:catAx>
        <c:axId val="19714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97165440"/>
        <c:crosses val="autoZero"/>
        <c:auto val="1"/>
        <c:lblAlgn val="ctr"/>
        <c:lblOffset val="100"/>
        <c:noMultiLvlLbl val="0"/>
      </c:catAx>
      <c:valAx>
        <c:axId val="197165440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人数</a:t>
                </a:r>
                <a:endParaRPr lang="zh-CN" altLang="en-US"/>
              </a:p>
            </c:rich>
          </c:tx>
          <c:layout>
            <c:manualLayout>
              <c:xMode val="edge"/>
              <c:yMode val="edge"/>
              <c:x val="0.127777777777778"/>
              <c:y val="0.39143372703412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971472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ln>
          <a:noFill/>
        </a:ln>
      </c:spPr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252</Words>
  <Characters>1442</Characters>
  <Lines>12</Lines>
  <Paragraphs>3</Paragraphs>
  <TotalTime>2839</TotalTime>
  <ScaleCrop>false</ScaleCrop>
  <LinksUpToDate>false</LinksUpToDate>
  <CharactersWithSpaces>1691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2017-08-14T01:24:00Z</dcterms:created>
  <dc:creator>ZCL-PC</dc:creator>
  <cp:lastModifiedBy>Administrator</cp:lastModifiedBy>
  <cp:lastPrinted>2017-08-16T00:52:00Z</cp:lastPrinted>
  <dcterms:modified xsi:type="dcterms:W3CDTF">2018-08-31T06:36:16Z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