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安丘</w:t>
      </w:r>
      <w:r>
        <w:rPr>
          <w:rFonts w:hint="eastAsia" w:ascii="文星标宋" w:hAnsi="文星标宋" w:eastAsia="文星标宋" w:cs="文星标宋"/>
          <w:sz w:val="44"/>
          <w:szCs w:val="44"/>
        </w:rPr>
        <w:t>市退出类网贷机构名单公告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潍坊永田电子商务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有限公司已退出P2P网贷机构名单，现予以公告。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安丘</w:t>
      </w:r>
      <w:r>
        <w:rPr>
          <w:rFonts w:hint="eastAsia" w:ascii="仿宋_GB2312" w:hAnsi="仿宋_GB2312" w:eastAsia="仿宋_GB2312" w:cs="仿宋_GB2312"/>
          <w:sz w:val="32"/>
          <w:szCs w:val="32"/>
        </w:rPr>
        <w:t>市互联网金融风险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专项整治工作领导小组办公室             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6321A"/>
    <w:rsid w:val="2E76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2021-05-24T06:29:00Z</dcterms:created>
  <dc:creator>Administrator</dc:creator>
  <cp:lastModifiedBy>Administrator</cp:lastModifiedBy>
  <dcterms:modified xsi:type="dcterms:W3CDTF">2021-05-24T06:34:55Z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51A5FEF6EF7F4DAE8F5FF85B05E23160</vt:lpwstr>
  </property>
</Properties>
</file>