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安丘市发展和改革局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2020年</w:t>
      </w:r>
      <w:r>
        <w:rPr>
          <w:rFonts w:hint="eastAsia" w:ascii="方正小标宋简体" w:eastAsia="方正小标宋简体"/>
          <w:sz w:val="44"/>
          <w:szCs w:val="44"/>
        </w:rPr>
        <w:t>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根据《中华人民共和国政府信息公开条例》</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安丘市</w:t>
      </w:r>
      <w:r>
        <w:rPr>
          <w:rFonts w:hint="eastAsia" w:ascii="仿宋_GB2312" w:hAnsi="仿宋_GB2312" w:eastAsia="仿宋_GB2312" w:cs="仿宋_GB2312"/>
          <w:color w:val="000000"/>
          <w:kern w:val="0"/>
          <w:sz w:val="32"/>
          <w:szCs w:val="32"/>
          <w:shd w:val="clear" w:color="auto" w:fill="FFFFFF"/>
        </w:rPr>
        <w:t>人民政府办公室关于做好</w:t>
      </w:r>
      <w:r>
        <w:rPr>
          <w:rFonts w:hint="eastAsia" w:ascii="仿宋_GB2312" w:hAnsi="仿宋_GB2312" w:eastAsia="仿宋_GB2312" w:cs="仿宋_GB2312"/>
          <w:color w:val="000000"/>
          <w:kern w:val="0"/>
          <w:sz w:val="32"/>
          <w:szCs w:val="32"/>
          <w:shd w:val="clear" w:color="auto" w:fill="FFFFFF"/>
          <w:lang w:val="en-US" w:eastAsia="zh-CN"/>
        </w:rPr>
        <w:t>2020</w:t>
      </w:r>
      <w:r>
        <w:rPr>
          <w:rFonts w:hint="eastAsia" w:ascii="仿宋_GB2312" w:hAnsi="仿宋_GB2312" w:eastAsia="仿宋_GB2312" w:cs="仿宋_GB2312"/>
          <w:color w:val="000000"/>
          <w:kern w:val="0"/>
          <w:sz w:val="32"/>
          <w:szCs w:val="32"/>
          <w:shd w:val="clear" w:color="auto" w:fill="FFFFFF"/>
        </w:rPr>
        <w:t>年政府信息公开工作年度报告编制发布和报送工作的通知》要求，结合我</w:t>
      </w:r>
      <w:r>
        <w:rPr>
          <w:rFonts w:hint="eastAsia" w:ascii="仿宋_GB2312" w:hAnsi="仿宋_GB2312" w:eastAsia="仿宋_GB2312" w:cs="仿宋_GB2312"/>
          <w:color w:val="000000"/>
          <w:kern w:val="0"/>
          <w:sz w:val="32"/>
          <w:szCs w:val="32"/>
          <w:shd w:val="clear" w:color="auto" w:fill="FFFFFF"/>
          <w:lang w:val="en-US" w:eastAsia="zh-CN"/>
        </w:rPr>
        <w:t>局</w:t>
      </w:r>
      <w:r>
        <w:rPr>
          <w:rFonts w:hint="eastAsia" w:ascii="仿宋_GB2312" w:hAnsi="仿宋_GB2312" w:eastAsia="仿宋_GB2312" w:cs="仿宋_GB2312"/>
          <w:color w:val="000000"/>
          <w:kern w:val="0"/>
          <w:sz w:val="32"/>
          <w:szCs w:val="32"/>
          <w:shd w:val="clear" w:color="auto" w:fill="FFFFFF"/>
        </w:rPr>
        <w:t>实际，编制并向社会公布</w:t>
      </w:r>
      <w:r>
        <w:rPr>
          <w:rFonts w:hint="eastAsia" w:ascii="仿宋_GB2312" w:hAnsi="仿宋_GB2312" w:eastAsia="仿宋_GB2312" w:cs="仿宋_GB2312"/>
          <w:color w:val="000000"/>
          <w:kern w:val="0"/>
          <w:sz w:val="32"/>
          <w:szCs w:val="32"/>
          <w:shd w:val="clear" w:color="auto" w:fill="FFFFFF"/>
          <w:lang w:eastAsia="zh-CN"/>
        </w:rPr>
        <w:t>安丘市</w:t>
      </w:r>
      <w:r>
        <w:rPr>
          <w:rFonts w:hint="eastAsia" w:ascii="仿宋_GB2312" w:hAnsi="仿宋_GB2312" w:eastAsia="仿宋_GB2312" w:cs="仿宋_GB2312"/>
          <w:color w:val="000000"/>
          <w:kern w:val="0"/>
          <w:sz w:val="32"/>
          <w:szCs w:val="32"/>
          <w:shd w:val="clear" w:color="auto" w:fill="FFFFFF"/>
          <w:lang w:val="en-US" w:eastAsia="zh-CN"/>
        </w:rPr>
        <w:t>发展和改革局2020</w:t>
      </w:r>
      <w:r>
        <w:rPr>
          <w:rFonts w:hint="eastAsia" w:ascii="仿宋_GB2312" w:hAnsi="仿宋_GB2312" w:eastAsia="仿宋_GB2312" w:cs="仿宋_GB2312"/>
          <w:color w:val="000000"/>
          <w:kern w:val="0"/>
          <w:sz w:val="32"/>
          <w:szCs w:val="32"/>
          <w:shd w:val="clear" w:color="auto" w:fill="FFFFFF"/>
        </w:rPr>
        <w:t>年政府信息公开工作年度报告。本年度报告中所列数据的统计期限自20</w:t>
      </w:r>
      <w:r>
        <w:rPr>
          <w:rFonts w:hint="eastAsia" w:ascii="仿宋_GB2312" w:hAnsi="仿宋_GB2312" w:eastAsia="仿宋_GB2312" w:cs="仿宋_GB2312"/>
          <w:color w:val="000000"/>
          <w:kern w:val="0"/>
          <w:sz w:val="32"/>
          <w:szCs w:val="32"/>
          <w:shd w:val="clear" w:color="auto" w:fill="FFFFFF"/>
          <w:lang w:val="en-US" w:eastAsia="zh-CN"/>
        </w:rPr>
        <w:t>20</w:t>
      </w:r>
      <w:r>
        <w:rPr>
          <w:rFonts w:hint="eastAsia" w:ascii="仿宋_GB2312" w:hAnsi="仿宋_GB2312" w:eastAsia="仿宋_GB2312" w:cs="仿宋_GB2312"/>
          <w:color w:val="000000"/>
          <w:kern w:val="0"/>
          <w:sz w:val="32"/>
          <w:szCs w:val="32"/>
          <w:shd w:val="clear" w:color="auto" w:fill="FFFFFF"/>
        </w:rPr>
        <w:t>年1月1日起，至20</w:t>
      </w:r>
      <w:r>
        <w:rPr>
          <w:rFonts w:hint="eastAsia" w:ascii="仿宋_GB2312" w:hAnsi="仿宋_GB2312" w:eastAsia="仿宋_GB2312" w:cs="仿宋_GB2312"/>
          <w:color w:val="000000"/>
          <w:kern w:val="0"/>
          <w:sz w:val="32"/>
          <w:szCs w:val="32"/>
          <w:shd w:val="clear" w:color="auto" w:fill="FFFFFF"/>
          <w:lang w:val="en-US" w:eastAsia="zh-CN"/>
        </w:rPr>
        <w:t>20</w:t>
      </w:r>
      <w:r>
        <w:rPr>
          <w:rFonts w:hint="eastAsia" w:ascii="仿宋_GB2312" w:hAnsi="仿宋_GB2312" w:eastAsia="仿宋_GB2312" w:cs="仿宋_GB2312"/>
          <w:color w:val="000000"/>
          <w:kern w:val="0"/>
          <w:sz w:val="32"/>
          <w:szCs w:val="32"/>
          <w:shd w:val="clear" w:color="auto" w:fill="FFFFFF"/>
        </w:rPr>
        <w:t>年12月31日止。如对本报告有疑问，请联系</w:t>
      </w:r>
      <w:r>
        <w:rPr>
          <w:rFonts w:hint="eastAsia" w:ascii="仿宋_GB2312" w:hAnsi="仿宋_GB2312" w:eastAsia="仿宋_GB2312" w:cs="仿宋_GB2312"/>
          <w:sz w:val="32"/>
          <w:szCs w:val="32"/>
        </w:rPr>
        <w:t>安丘市</w:t>
      </w:r>
      <w:r>
        <w:rPr>
          <w:rFonts w:hint="eastAsia" w:ascii="仿宋_GB2312" w:hAnsi="仿宋_GB2312" w:eastAsia="仿宋_GB2312" w:cs="仿宋_GB2312"/>
          <w:sz w:val="32"/>
          <w:szCs w:val="32"/>
          <w:lang w:val="en-US" w:eastAsia="zh-CN"/>
        </w:rPr>
        <w:t>发展和改革局</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（地址：</w:t>
      </w:r>
      <w:r>
        <w:rPr>
          <w:rFonts w:hint="eastAsia" w:ascii="仿宋_GB2312" w:hAnsi="仿宋_GB2312" w:eastAsia="仿宋_GB2312" w:cs="仿宋_GB2312"/>
          <w:sz w:val="32"/>
          <w:szCs w:val="32"/>
        </w:rPr>
        <w:t>山东省安丘市</w:t>
      </w:r>
      <w:r>
        <w:rPr>
          <w:rFonts w:hint="eastAsia" w:ascii="仿宋_GB2312" w:hAnsi="仿宋_GB2312" w:eastAsia="仿宋_GB2312" w:cs="仿宋_GB2312"/>
          <w:sz w:val="32"/>
          <w:szCs w:val="32"/>
          <w:lang w:eastAsia="zh-CN"/>
        </w:rPr>
        <w:t>青云大街市级机关综合办公大楼）</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邮编：262100，</w:t>
      </w:r>
      <w:r>
        <w:rPr>
          <w:rFonts w:hint="eastAsia" w:ascii="仿宋_GB2312" w:hAnsi="仿宋_GB2312" w:eastAsia="仿宋_GB2312" w:cs="仿宋_GB2312"/>
          <w:color w:val="000000"/>
          <w:kern w:val="0"/>
          <w:sz w:val="32"/>
          <w:szCs w:val="32"/>
          <w:shd w:val="clear" w:color="auto" w:fill="FFFFFF"/>
        </w:rPr>
        <w:t>联系电话:0536-</w:t>
      </w:r>
      <w:r>
        <w:rPr>
          <w:rFonts w:hint="eastAsia" w:ascii="仿宋_GB2312" w:hAnsi="仿宋_GB2312" w:eastAsia="仿宋_GB2312" w:cs="仿宋_GB2312"/>
          <w:color w:val="000000"/>
          <w:kern w:val="0"/>
          <w:sz w:val="32"/>
          <w:szCs w:val="32"/>
          <w:shd w:val="clear" w:color="auto" w:fill="FFFFFF"/>
          <w:lang w:val="en-US" w:eastAsia="zh-CN"/>
        </w:rPr>
        <w:t>4396449，</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aqfgjbgs</w:t>
      </w:r>
      <w:r>
        <w:rPr>
          <w:rFonts w:hint="eastAsia" w:ascii="仿宋_GB2312" w:hAnsi="仿宋_GB2312" w:eastAsia="仿宋_GB2312" w:cs="仿宋_GB2312"/>
          <w:sz w:val="32"/>
          <w:szCs w:val="32"/>
        </w:rPr>
        <w:t>@wf.shandong.cn。</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Ansi="黑体" w:eastAsia="黑体"/>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2020</w:t>
      </w:r>
      <w:r>
        <w:rPr>
          <w:rFonts w:hint="eastAsia" w:ascii="仿宋_GB2312" w:hAnsi="宋体" w:eastAsia="仿宋_GB2312" w:cs="宋体"/>
          <w:color w:val="000000"/>
          <w:kern w:val="0"/>
          <w:sz w:val="32"/>
          <w:szCs w:val="32"/>
          <w:shd w:val="clear" w:color="auto" w:fill="FFFFFF"/>
        </w:rPr>
        <w:t>年，安丘市</w:t>
      </w:r>
      <w:r>
        <w:rPr>
          <w:rFonts w:hint="eastAsia" w:ascii="仿宋_GB2312" w:hAnsi="宋体" w:eastAsia="仿宋_GB2312" w:cs="宋体"/>
          <w:color w:val="000000"/>
          <w:kern w:val="0"/>
          <w:sz w:val="32"/>
          <w:szCs w:val="32"/>
          <w:shd w:val="clear" w:color="auto" w:fill="FFFFFF"/>
          <w:lang w:val="en-US" w:eastAsia="zh-CN"/>
        </w:rPr>
        <w:t>发展和改革局</w:t>
      </w:r>
      <w:r>
        <w:rPr>
          <w:rFonts w:hint="eastAsia" w:ascii="仿宋_GB2312" w:hAnsi="宋体" w:eastAsia="仿宋_GB2312" w:cs="宋体"/>
          <w:color w:val="000000"/>
          <w:kern w:val="0"/>
          <w:sz w:val="32"/>
          <w:szCs w:val="32"/>
          <w:shd w:val="clear" w:color="auto" w:fill="FFFFFF"/>
        </w:rPr>
        <w:t>认真贯彻《条例》</w:t>
      </w:r>
      <w:bookmarkStart w:id="0" w:name="_GoBack"/>
      <w:bookmarkEnd w:id="0"/>
      <w:r>
        <w:rPr>
          <w:rFonts w:hint="eastAsia" w:ascii="仿宋_GB2312" w:hAnsi="宋体" w:eastAsia="仿宋_GB2312" w:cs="宋体"/>
          <w:color w:val="000000"/>
          <w:kern w:val="0"/>
          <w:sz w:val="32"/>
          <w:szCs w:val="32"/>
          <w:shd w:val="clear" w:color="auto" w:fill="FFFFFF"/>
          <w:lang w:eastAsia="zh-CN"/>
        </w:rPr>
        <w:t>相关要求</w:t>
      </w:r>
      <w:r>
        <w:rPr>
          <w:rFonts w:hint="eastAsia" w:ascii="仿宋_GB2312" w:hAnsi="宋体" w:eastAsia="仿宋_GB2312" w:cs="宋体"/>
          <w:color w:val="000000"/>
          <w:kern w:val="0"/>
          <w:sz w:val="32"/>
          <w:szCs w:val="32"/>
          <w:shd w:val="clear" w:color="auto" w:fill="FFFFFF"/>
        </w:rPr>
        <w:t>，坚持“公开为常态，不公开为例外”的原则，加大政府信息公开力度，依法保障了公众的知情权、参与权和监督权，全面提升政府信息公开制度化、标准化、信息化建设水平。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（一）主动公开情况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left"/>
        <w:rPr>
          <w:rFonts w:hint="eastAsia" w:ascii="仿宋_GB2312" w:hAnsi="宋体" w:eastAsia="仿宋_GB2312" w:cs="宋体"/>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bidi="ar-SA"/>
        </w:rPr>
        <w:t>1.及时公开机构基本信息。根据工作调整，及时公开了主要职责、负责人姓名、联系方式、联系地址、办公时间、电子邮箱、领导成员和分工情况。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eastAsia="仿宋_GB2312" w:cs="宋体"/>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bidi="ar-SA"/>
        </w:rPr>
        <w:t>2.全面公开</w:t>
      </w:r>
      <w:r>
        <w:rPr>
          <w:rFonts w:hint="eastAsia" w:ascii="仿宋_GB2312" w:eastAsia="仿宋_GB2312" w:cs="宋体"/>
          <w:color w:val="000000"/>
          <w:kern w:val="0"/>
          <w:sz w:val="32"/>
          <w:szCs w:val="32"/>
          <w:shd w:val="clear" w:color="auto" w:fill="FFFFFF"/>
          <w:lang w:val="en-US" w:eastAsia="zh-CN" w:bidi="ar-SA"/>
        </w:rPr>
        <w:t>发改</w:t>
      </w:r>
      <w:r>
        <w:rPr>
          <w:rFonts w:hint="eastAsia" w:ascii="仿宋_GB2312" w:hAnsi="宋体" w:eastAsia="仿宋_GB2312" w:cs="宋体"/>
          <w:color w:val="000000"/>
          <w:kern w:val="0"/>
          <w:sz w:val="32"/>
          <w:szCs w:val="32"/>
          <w:shd w:val="clear" w:color="auto" w:fill="FFFFFF"/>
          <w:lang w:val="en-US" w:eastAsia="zh-CN" w:bidi="ar-SA"/>
        </w:rPr>
        <w:t>领域信息并加强政策解读。坚持“公开为常态，不公开为例外”的原则，</w:t>
      </w:r>
      <w:r>
        <w:rPr>
          <w:rFonts w:hint="eastAsia" w:ascii="仿宋_GB2312" w:eastAsia="仿宋_GB2312" w:cs="宋体"/>
          <w:color w:val="000000"/>
          <w:kern w:val="0"/>
          <w:sz w:val="32"/>
          <w:szCs w:val="32"/>
          <w:shd w:val="clear" w:color="auto" w:fill="FFFFFF"/>
          <w:lang w:val="en-US" w:eastAsia="zh-CN" w:bidi="ar-SA"/>
        </w:rPr>
        <w:t>对财政预算、决算，国民经济和社会发展规划，专项规划，生姜目标价格保险，重大建设项目等方面的文件进行了全面公开。对行政许可、行政处罚、办事指南等信息在山东政务服务网上定期进行更新。按照“谁起草、谁解读”的原则，同步制定发布政策解读文件。采用局主要负责同志解读，参加行风在线、登台述政等广播电视节目等形式对相关政策进行多维度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firstLine="480"/>
        <w:jc w:val="left"/>
        <w:rPr>
          <w:rFonts w:hint="eastAsia" w:ascii="仿宋_GB2312" w:hAnsi="宋体" w:eastAsia="仿宋_GB2312" w:cs="宋体"/>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bidi="ar-SA"/>
        </w:rPr>
        <w:t>3.推进重点领域信息公开。公开了财政审计、市政服务、物价管理、产业结构调整、重大建设项目批准和实施领域、行政执法公示等信息。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drawing>
          <wp:inline distT="0" distB="0" distL="114300" distR="114300">
            <wp:extent cx="5613400" cy="3134995"/>
            <wp:effectExtent l="0" t="0" r="6350" b="8255"/>
            <wp:docPr id="3" name="图片 1" descr="d0917a573839c0f719ae82f070042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0917a573839c0f719ae82f070042e8"/>
                    <pic:cNvPicPr>
                      <a:picLocks noChangeAspect="1"/>
                    </pic:cNvPicPr>
                  </pic:nvPicPr>
                  <pic:blipFill>
                    <a:blip r:embed="rId5"/>
                    <a:stretch>
                      <a:fillRect/>
                    </a:stretch>
                  </pic:blipFill>
                  <pic:spPr>
                    <a:xfrm>
                      <a:off x="0" y="0"/>
                      <a:ext cx="5613400" cy="3134995"/>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（二）依申请公开情况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1.依申请公开情况。市发改局2020年共收到政府信息公开申请4件，其中网络申请1件、信件申请3件。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2.申请处理情况。共答复政府信息公开申请4件，按时办结4件，按时办结率100%。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3.申请行政复议、提起行政诉讼情况。全年未发生因政府信息公开被行政复议、提起行政诉讼情况。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加强门户网站信息发布与管理工作，严格按照要求对属于主动公开范围的政府信息，在该政府信息形成或者变更之日起20个工作日内予以公开，做到及时、全面、高效。按照“谁起草、谁解读”的原则，实行政策文件与解读方案、解读材料同起草、同审签、同印发、同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健全政务舆情收集、研判和回应机制，主动回应重大舆论关切，快速反应、及时发声。利用政府门户网站，加强与群众沟通交流，及时解决群众疑问，充分发挥政府门户网站的信息公开第一平台作用。加强与新闻媒体的沟通，及时在报纸和电视台、电台等媒体上公告或宣传发改工作信息，形成了良好的互动交流氛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（五）机构建设及人员配置情况。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2020年按照分工重新调整我局政务公开领导小组，确定分管负责人，全面负责做好局政府信息公开管理工作，办公室为信息公开工作机构，并安排专兼职工作人员具体负责，同时，各科室也将信息公开工作作为日常工作的规定动作，适合公开发布的信息及时报送办公室，确保信息准确性和时效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（六）监督保障情况。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强化组织领导，高度重视政务公开工作。及时对政务公开工作领导小组成员进行调整，形成主要领导亲自抓，分管领导具体抓，专人负责政务公开工作的格局。二是完善工作机制，规范信息公开工作。根据市政府政务公开办公室政务公开日常记账考核制度，制定局政务公开考核制度，主动接受市政府政务公开办公室对我局政务公开工作的监督，发现问题及时整改。同时，局政务公开办公室负责对各科室工作进行考核监督，对工作不到位的地方，及时反馈改进，确保政务信息及时准确发布。三是抓好队伍培训。积极参加市政府组织的政府信息公开工作会议和业务培训，制定培训计划，每年定期主动对各科室政府信息公开工作人员进行培训，切实提高对政府信息公开工作的认识水平和工作能力。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（七）政府信息公开工作考核、社会评议和责任结果追究结果情况。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i w:val="0"/>
          <w:caps w:val="0"/>
          <w:color w:val="000000"/>
          <w:spacing w:val="0"/>
          <w:kern w:val="2"/>
          <w:sz w:val="32"/>
          <w:szCs w:val="32"/>
          <w:shd w:val="clear" w:color="auto" w:fill="FFFFFF"/>
          <w:lang w:val="en-US" w:eastAsia="zh-CN" w:bidi="ar"/>
        </w:rPr>
      </w:pPr>
      <w:r>
        <w:rPr>
          <w:rFonts w:hint="eastAsia" w:ascii="仿宋_GB2312" w:hAnsi="仿宋_GB2312" w:eastAsia="仿宋_GB2312" w:cs="仿宋_GB2312"/>
          <w:kern w:val="0"/>
          <w:sz w:val="32"/>
          <w:szCs w:val="32"/>
          <w:lang w:val="en-US" w:eastAsia="zh-CN" w:bidi="ar"/>
        </w:rPr>
        <w:t>1、</w:t>
      </w:r>
      <w:r>
        <w:rPr>
          <w:rFonts w:hint="eastAsia" w:ascii="仿宋_GB2312" w:hAnsi="Times New Roman" w:eastAsia="仿宋_GB2312" w:cs="仿宋_GB2312"/>
          <w:i w:val="0"/>
          <w:caps w:val="0"/>
          <w:color w:val="000000"/>
          <w:spacing w:val="0"/>
          <w:kern w:val="2"/>
          <w:sz w:val="32"/>
          <w:szCs w:val="32"/>
          <w:shd w:val="clear" w:color="auto" w:fill="FFFFFF"/>
          <w:lang w:val="en-US" w:eastAsia="zh-CN" w:bidi="ar"/>
        </w:rPr>
        <w:t>将信息公开工作作为机关科室年度考核和评先树优的重要内容，对工作落实不到位的科室和个人，依法依规追究相关责任。将政府信息公开工作纳入全年工作任务目标，作为工作考核重要内容，将公开任务分解到各科室，组织不定期考核检查，公开工作情况接受社会监督，确保政府信息公开工作落到实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2、主动听取社会公众意见建议。及时公开监督建议电话、邮箱和单位地址，对于网上信箱中收到的信件及时处理、答复。</w:t>
      </w:r>
      <w:r>
        <w:rPr>
          <w:rFonts w:hint="eastAsia" w:ascii="仿宋_GB2312" w:hAnsi="Times New Roman" w:eastAsia="仿宋_GB2312" w:cs="仿宋_GB2312"/>
          <w:i w:val="0"/>
          <w:caps w:val="0"/>
          <w:color w:val="000000"/>
          <w:spacing w:val="0"/>
          <w:kern w:val="2"/>
          <w:sz w:val="32"/>
          <w:szCs w:val="32"/>
          <w:shd w:val="clear" w:color="auto" w:fill="FFFFFF"/>
          <w:lang w:val="en-US" w:eastAsia="zh-CN" w:bidi="ar"/>
        </w:rPr>
        <w:t>对公民、法人或者其他组织认为本机关提供的与其自身相关的政府信息记录不准确、向本机关提出更正申请的，及时作出相应处理，并告知申请人积极接受社会评议。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Times New Roman" w:eastAsia="仿宋_GB2312" w:cs="仿宋_GB2312"/>
          <w:i w:val="0"/>
          <w:caps w:val="0"/>
          <w:color w:val="000000"/>
          <w:spacing w:val="0"/>
          <w:kern w:val="2"/>
          <w:sz w:val="32"/>
          <w:szCs w:val="32"/>
          <w:shd w:val="clear" w:color="auto" w:fill="FFFFFF"/>
          <w:lang w:val="en-US" w:eastAsia="zh-CN" w:bidi="ar"/>
        </w:rPr>
      </w:pPr>
      <w:r>
        <w:rPr>
          <w:rFonts w:hint="eastAsia" w:ascii="仿宋_GB2312" w:hAnsi="仿宋_GB2312" w:eastAsia="仿宋_GB2312" w:cs="仿宋_GB2312"/>
          <w:kern w:val="0"/>
          <w:sz w:val="32"/>
          <w:szCs w:val="32"/>
          <w:lang w:val="en-US" w:eastAsia="zh-CN" w:bidi="ar"/>
        </w:rPr>
        <w:t>3、责任结果追究结果情况。</w:t>
      </w:r>
      <w:r>
        <w:rPr>
          <w:rFonts w:hint="eastAsia" w:ascii="仿宋_GB2312" w:hAnsi="Times New Roman" w:eastAsia="仿宋_GB2312" w:cs="仿宋_GB2312"/>
          <w:i w:val="0"/>
          <w:caps w:val="0"/>
          <w:color w:val="000000"/>
          <w:spacing w:val="0"/>
          <w:kern w:val="2"/>
          <w:sz w:val="32"/>
          <w:szCs w:val="32"/>
          <w:shd w:val="clear" w:color="auto" w:fill="FFFFFF"/>
          <w:lang w:val="en-US" w:eastAsia="zh-CN" w:bidi="ar"/>
        </w:rPr>
        <w:t>2020年全年未发生因信息公开引起的行政复议或行政诉讼案件，没有因政务公开工作受到责任追究情况。</w:t>
      </w:r>
    </w:p>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二、主动公开政府信息情况</w:t>
      </w:r>
    </w:p>
    <w:tbl>
      <w:tblPr>
        <w:tblStyle w:val="5"/>
        <w:tblW w:w="8708" w:type="dxa"/>
        <w:jc w:val="center"/>
        <w:tblLayout w:type="autofit"/>
        <w:tblCellMar>
          <w:top w:w="15" w:type="dxa"/>
          <w:left w:w="15" w:type="dxa"/>
          <w:bottom w:w="15" w:type="dxa"/>
          <w:right w:w="15" w:type="dxa"/>
        </w:tblCellMar>
      </w:tblPr>
      <w:tblGrid>
        <w:gridCol w:w="3073"/>
        <w:gridCol w:w="17"/>
        <w:gridCol w:w="2095"/>
        <w:gridCol w:w="1505"/>
        <w:gridCol w:w="2018"/>
      </w:tblGrid>
      <w:tr>
        <w:tblPrEx>
          <w:tblCellMar>
            <w:top w:w="15" w:type="dxa"/>
            <w:left w:w="15" w:type="dxa"/>
            <w:bottom w:w="15" w:type="dxa"/>
            <w:right w:w="15"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第二十条第（一）项</w:t>
            </w:r>
          </w:p>
        </w:tc>
      </w:tr>
      <w:tr>
        <w:tblPrEx>
          <w:tblCellMar>
            <w:top w:w="15" w:type="dxa"/>
            <w:left w:w="15" w:type="dxa"/>
            <w:bottom w:w="15" w:type="dxa"/>
            <w:right w:w="15"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本年新制作数量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Times New Roman" w:asciiTheme="minorEastAsia" w:hAnsiTheme="minorEastAsia"/>
                <w:kern w:val="0"/>
                <w:szCs w:val="21"/>
              </w:rPr>
            </w:pPr>
            <w:r>
              <w:rPr>
                <w:rFonts w:hint="eastAsia" w:cs="Times New Roman" w:asciiTheme="minorEastAsia" w:hAnsiTheme="minorEastAsia"/>
                <w:kern w:val="0"/>
                <w:szCs w:val="21"/>
              </w:rPr>
              <w:t>本年新</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公开数量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Times New Roman" w:asciiTheme="minorEastAsia" w:hAnsiTheme="minorEastAsia"/>
                <w:kern w:val="0"/>
                <w:szCs w:val="21"/>
              </w:rPr>
            </w:pPr>
            <w:r>
              <w:rPr>
                <w:rFonts w:hint="eastAsia" w:cs="Times New Roman" w:asciiTheme="minorEastAsia" w:hAnsiTheme="minorEastAsia"/>
                <w:kern w:val="0"/>
                <w:szCs w:val="21"/>
              </w:rPr>
              <w:t>对外公开</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总数量</w:t>
            </w:r>
          </w:p>
        </w:tc>
      </w:tr>
      <w:tr>
        <w:tblPrEx>
          <w:tblCellMar>
            <w:top w:w="15" w:type="dxa"/>
            <w:left w:w="15" w:type="dxa"/>
            <w:bottom w:w="15" w:type="dxa"/>
            <w:right w:w="15"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规章</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规范性文件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第二十条第（五）项</w:t>
            </w:r>
          </w:p>
        </w:tc>
      </w:tr>
      <w:tr>
        <w:tblPrEx>
          <w:tblCellMar>
            <w:top w:w="15" w:type="dxa"/>
            <w:left w:w="15" w:type="dxa"/>
            <w:bottom w:w="15" w:type="dxa"/>
            <w:right w:w="15"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处理决定数量</w:t>
            </w:r>
          </w:p>
        </w:tc>
      </w:tr>
      <w:tr>
        <w:tblPrEx>
          <w:tblCellMar>
            <w:top w:w="15" w:type="dxa"/>
            <w:left w:w="15" w:type="dxa"/>
            <w:bottom w:w="15" w:type="dxa"/>
            <w:right w:w="15"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行政许可</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其他对外管理服务事项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Times New Roman" w:asciiTheme="minorEastAsia" w:hAnsiTheme="minorEastAsia"/>
                <w:kern w:val="0"/>
                <w:szCs w:val="21"/>
                <w:lang w:val="en-US" w:eastAsia="zh-CN"/>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第二十条第（六）项</w:t>
            </w:r>
          </w:p>
        </w:tc>
      </w:tr>
      <w:tr>
        <w:tblPrEx>
          <w:tblCellMar>
            <w:top w:w="15" w:type="dxa"/>
            <w:left w:w="15" w:type="dxa"/>
            <w:bottom w:w="15" w:type="dxa"/>
            <w:right w:w="15"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处理决定数量</w:t>
            </w:r>
          </w:p>
        </w:tc>
      </w:tr>
      <w:tr>
        <w:tblPrEx>
          <w:tblCellMar>
            <w:top w:w="15" w:type="dxa"/>
            <w:left w:w="15" w:type="dxa"/>
            <w:bottom w:w="15" w:type="dxa"/>
            <w:right w:w="15"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行政处罚</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23</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r>
      <w:tr>
        <w:tblPrEx>
          <w:tblCellMar>
            <w:top w:w="15" w:type="dxa"/>
            <w:left w:w="15" w:type="dxa"/>
            <w:bottom w:w="15" w:type="dxa"/>
            <w:right w:w="15"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行政强制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r>
      <w:tr>
        <w:tblPrEx>
          <w:tblCellMar>
            <w:top w:w="15" w:type="dxa"/>
            <w:left w:w="15" w:type="dxa"/>
            <w:bottom w:w="15" w:type="dxa"/>
            <w:right w:w="15"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第二十条第（八）项</w:t>
            </w:r>
          </w:p>
        </w:tc>
      </w:tr>
      <w:tr>
        <w:tblPrEx>
          <w:tblCellMar>
            <w:top w:w="15" w:type="dxa"/>
            <w:left w:w="15" w:type="dxa"/>
            <w:bottom w:w="15" w:type="dxa"/>
            <w:right w:w="15"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r>
      <w:tr>
        <w:tblPrEx>
          <w:tblCellMar>
            <w:top w:w="15" w:type="dxa"/>
            <w:left w:w="15" w:type="dxa"/>
            <w:bottom w:w="15" w:type="dxa"/>
            <w:right w:w="15"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行政事业性收费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r>
      <w:tr>
        <w:tblPrEx>
          <w:tblCellMar>
            <w:top w:w="15" w:type="dxa"/>
            <w:left w:w="15" w:type="dxa"/>
            <w:bottom w:w="15" w:type="dxa"/>
            <w:right w:w="15"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第二十条第（九）项</w:t>
            </w:r>
          </w:p>
        </w:tc>
      </w:tr>
      <w:tr>
        <w:tblPrEx>
          <w:tblCellMar>
            <w:top w:w="15" w:type="dxa"/>
            <w:left w:w="15" w:type="dxa"/>
            <w:bottom w:w="15" w:type="dxa"/>
            <w:right w:w="15"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　</w:t>
            </w:r>
            <w:r>
              <w:rPr>
                <w:rFonts w:hint="eastAsia" w:cs="Times New Roman" w:asciiTheme="minorEastAsia" w:hAnsiTheme="minorEastAsia"/>
                <w:kern w:val="0"/>
                <w:szCs w:val="21"/>
              </w:rPr>
              <w:t>采购项目数量</w:t>
            </w:r>
            <w:r>
              <w:rPr>
                <w:rFonts w:hint="eastAsia" w:cs="Times New Roman" w:asciiTheme="minorEastAsia" w:hAnsiTheme="minorEastAsia"/>
                <w:kern w:val="0"/>
                <w:szCs w:val="21"/>
                <w:lang w:val="en-US" w:eastAsia="zh-CN"/>
              </w:rPr>
              <w:t>（批）</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Times New Roman" w:asciiTheme="minorEastAsia" w:hAnsiTheme="minorEastAsia"/>
                <w:kern w:val="0"/>
                <w:szCs w:val="21"/>
              </w:rPr>
              <w:t>采购总金额</w:t>
            </w:r>
            <w:r>
              <w:rPr>
                <w:rFonts w:hint="eastAsia" w:cs="Times New Roman" w:asciiTheme="minorEastAsia" w:hAnsiTheme="minorEastAsia"/>
                <w:kern w:val="0"/>
                <w:szCs w:val="21"/>
                <w:lang w:eastAsia="zh-CN"/>
              </w:rPr>
              <w:t>（元）</w:t>
            </w:r>
          </w:p>
        </w:tc>
      </w:tr>
      <w:tr>
        <w:tblPrEx>
          <w:tblCellMar>
            <w:top w:w="15" w:type="dxa"/>
            <w:left w:w="15" w:type="dxa"/>
            <w:bottom w:w="15" w:type="dxa"/>
            <w:right w:w="15"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政府集中采购</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502930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三、收到和处理政府信息公开申请情况</w:t>
      </w:r>
    </w:p>
    <w:tbl>
      <w:tblPr>
        <w:tblStyle w:val="5"/>
        <w:tblW w:w="9071" w:type="dxa"/>
        <w:jc w:val="center"/>
        <w:tblLayout w:type="autofit"/>
        <w:tblCellMar>
          <w:top w:w="15" w:type="dxa"/>
          <w:left w:w="15" w:type="dxa"/>
          <w:bottom w:w="15" w:type="dxa"/>
          <w:right w:w="15" w:type="dxa"/>
        </w:tblCellMar>
      </w:tblPr>
      <w:tblGrid>
        <w:gridCol w:w="636"/>
        <w:gridCol w:w="1402"/>
        <w:gridCol w:w="2775"/>
        <w:gridCol w:w="838"/>
        <w:gridCol w:w="563"/>
        <w:gridCol w:w="563"/>
        <w:gridCol w:w="563"/>
        <w:gridCol w:w="563"/>
        <w:gridCol w:w="538"/>
        <w:gridCol w:w="630"/>
      </w:tblGrid>
      <w:tr>
        <w:tblPrEx>
          <w:tblCellMar>
            <w:top w:w="15" w:type="dxa"/>
            <w:left w:w="15" w:type="dxa"/>
            <w:bottom w:w="15" w:type="dxa"/>
            <w:right w:w="15" w:type="dxa"/>
          </w:tblCellMar>
        </w:tblPrEx>
        <w:trPr>
          <w:trHeight w:val="413" w:hRule="atLeast"/>
          <w:jc w:val="center"/>
        </w:trPr>
        <w:tc>
          <w:tcPr>
            <w:tcW w:w="4813"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（本列数据的勾稽关系为：第一项加第二项之和，</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等于第三项加第四项之和）</w:t>
            </w:r>
          </w:p>
        </w:tc>
        <w:tc>
          <w:tcPr>
            <w:tcW w:w="425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申请人情况</w:t>
            </w:r>
          </w:p>
        </w:tc>
      </w:tr>
      <w:tr>
        <w:tblPrEx>
          <w:tblCellMar>
            <w:top w:w="15" w:type="dxa"/>
            <w:left w:w="15" w:type="dxa"/>
            <w:bottom w:w="15" w:type="dxa"/>
            <w:right w:w="15" w:type="dxa"/>
          </w:tblCellMar>
        </w:tblPrEx>
        <w:trPr>
          <w:trHeight w:val="425"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83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自然人</w:t>
            </w:r>
          </w:p>
        </w:tc>
        <w:tc>
          <w:tcPr>
            <w:tcW w:w="279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法人或其他组织</w:t>
            </w:r>
          </w:p>
        </w:tc>
        <w:tc>
          <w:tcPr>
            <w:tcW w:w="63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总计</w:t>
            </w:r>
          </w:p>
        </w:tc>
      </w:tr>
      <w:tr>
        <w:tblPrEx>
          <w:tblCellMar>
            <w:top w:w="15" w:type="dxa"/>
            <w:left w:w="15" w:type="dxa"/>
            <w:bottom w:w="15" w:type="dxa"/>
            <w:right w:w="15" w:type="dxa"/>
          </w:tblCellMar>
        </w:tblPrEx>
        <w:trPr>
          <w:trHeight w:val="1127"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商业企业</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科研机构</w:t>
            </w:r>
          </w:p>
        </w:tc>
        <w:tc>
          <w:tcPr>
            <w:tcW w:w="5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社会公益组织</w:t>
            </w:r>
          </w:p>
        </w:tc>
        <w:tc>
          <w:tcPr>
            <w:tcW w:w="5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法律服务机构</w:t>
            </w:r>
          </w:p>
        </w:tc>
        <w:tc>
          <w:tcPr>
            <w:tcW w:w="5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r>
      <w:tr>
        <w:tblPrEx>
          <w:tblCellMar>
            <w:top w:w="15" w:type="dxa"/>
            <w:left w:w="15" w:type="dxa"/>
            <w:bottom w:w="15" w:type="dxa"/>
            <w:right w:w="15" w:type="dxa"/>
          </w:tblCellMar>
        </w:tblPrEx>
        <w:trPr>
          <w:jc w:val="center"/>
        </w:trPr>
        <w:tc>
          <w:tcPr>
            <w:tcW w:w="481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一、本年新收政府信息公开申请数量</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4</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w:t>
            </w:r>
          </w:p>
        </w:tc>
      </w:tr>
      <w:tr>
        <w:tblPrEx>
          <w:tblCellMar>
            <w:top w:w="15" w:type="dxa"/>
            <w:left w:w="15" w:type="dxa"/>
            <w:bottom w:w="15" w:type="dxa"/>
            <w:right w:w="15" w:type="dxa"/>
          </w:tblCellMar>
        </w:tblPrEx>
        <w:trPr>
          <w:jc w:val="center"/>
        </w:trPr>
        <w:tc>
          <w:tcPr>
            <w:tcW w:w="481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color w:val="auto"/>
                <w:kern w:val="0"/>
                <w:szCs w:val="21"/>
              </w:rPr>
            </w:pPr>
            <w:r>
              <w:rPr>
                <w:rFonts w:hint="eastAsia" w:cs="宋体" w:asciiTheme="minorEastAsia" w:hAnsiTheme="minorEastAsia"/>
                <w:color w:val="auto"/>
                <w:kern w:val="0"/>
                <w:szCs w:val="21"/>
              </w:rPr>
              <w:t>　　</w:t>
            </w:r>
            <w:r>
              <w:rPr>
                <w:rFonts w:hint="eastAsia" w:cs="Times New Roman" w:asciiTheme="minorEastAsia" w:hAnsiTheme="minorEastAsia"/>
                <w:color w:val="auto"/>
                <w:kern w:val="0"/>
                <w:szCs w:val="21"/>
              </w:rPr>
              <w:t>二、上年结转政府信息公开申请数量</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0</w:t>
            </w:r>
          </w:p>
        </w:tc>
      </w:tr>
      <w:tr>
        <w:tblPrEx>
          <w:tblCellMar>
            <w:top w:w="15" w:type="dxa"/>
            <w:left w:w="15" w:type="dxa"/>
            <w:bottom w:w="15" w:type="dxa"/>
            <w:right w:w="15" w:type="dxa"/>
          </w:tblCellMar>
        </w:tblPrEx>
        <w:trPr>
          <w:jc w:val="center"/>
        </w:trPr>
        <w:tc>
          <w:tcPr>
            <w:tcW w:w="6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color w:val="auto"/>
                <w:kern w:val="0"/>
                <w:szCs w:val="21"/>
              </w:rPr>
            </w:pPr>
            <w:r>
              <w:rPr>
                <w:rFonts w:hint="eastAsia" w:cs="宋体" w:asciiTheme="minorEastAsia" w:hAnsiTheme="minorEastAsia"/>
                <w:color w:val="auto"/>
                <w:kern w:val="0"/>
                <w:szCs w:val="21"/>
              </w:rPr>
              <w:t>　　</w:t>
            </w:r>
            <w:r>
              <w:rPr>
                <w:rFonts w:hint="eastAsia" w:cs="Times New Roman" w:asciiTheme="minorEastAsia" w:hAnsiTheme="minorEastAsia"/>
                <w:color w:val="auto"/>
                <w:kern w:val="0"/>
                <w:szCs w:val="21"/>
              </w:rPr>
              <w:t>三、本年度办理结果</w:t>
            </w:r>
          </w:p>
        </w:tc>
        <w:tc>
          <w:tcPr>
            <w:tcW w:w="41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color w:val="auto"/>
                <w:kern w:val="0"/>
                <w:szCs w:val="21"/>
              </w:rPr>
            </w:pPr>
            <w:r>
              <w:rPr>
                <w:rFonts w:hint="eastAsia" w:cs="宋体" w:asciiTheme="minorEastAsia" w:hAnsiTheme="minorEastAsia"/>
                <w:color w:val="auto"/>
                <w:kern w:val="0"/>
                <w:szCs w:val="21"/>
              </w:rPr>
              <w:t>　　</w:t>
            </w:r>
            <w:r>
              <w:rPr>
                <w:rFonts w:hint="eastAsia" w:cs="Times New Roman" w:asciiTheme="minorEastAsia" w:hAnsiTheme="minorEastAsia"/>
                <w:color w:val="auto"/>
                <w:kern w:val="0"/>
                <w:szCs w:val="21"/>
              </w:rPr>
              <w:t>（一）予以公开</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lang w:val="en-US" w:eastAsia="zh-CN"/>
              </w:rPr>
              <w:t>4</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0</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lang w:val="en-US" w:eastAsia="zh-CN"/>
              </w:rPr>
              <w:t>4</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color w:val="auto"/>
                <w:kern w:val="0"/>
                <w:szCs w:val="21"/>
              </w:rPr>
            </w:pPr>
          </w:p>
        </w:tc>
        <w:tc>
          <w:tcPr>
            <w:tcW w:w="41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color w:val="auto"/>
                <w:kern w:val="0"/>
                <w:szCs w:val="21"/>
              </w:rPr>
            </w:pPr>
            <w:r>
              <w:rPr>
                <w:rFonts w:hint="eastAsia" w:cs="宋体" w:asciiTheme="minorEastAsia" w:hAnsiTheme="minorEastAsia"/>
                <w:color w:val="auto"/>
                <w:kern w:val="0"/>
                <w:szCs w:val="21"/>
              </w:rPr>
              <w:t>　　</w:t>
            </w:r>
            <w:r>
              <w:rPr>
                <w:rFonts w:hint="eastAsia" w:cs="Times New Roman" w:asciiTheme="minorEastAsia" w:hAnsiTheme="minorEastAsia"/>
                <w:color w:val="auto"/>
                <w:kern w:val="0"/>
                <w:szCs w:val="21"/>
              </w:rPr>
              <w:t>（二）部分公开（区分处理的，只计这一情形，不计其他情形）</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color w:val="auto"/>
                <w:kern w:val="0"/>
                <w:szCs w:val="21"/>
              </w:rPr>
            </w:pPr>
          </w:p>
        </w:tc>
        <w:tc>
          <w:tcPr>
            <w:tcW w:w="140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color w:val="auto"/>
                <w:kern w:val="0"/>
                <w:szCs w:val="21"/>
              </w:rPr>
            </w:pPr>
            <w:r>
              <w:rPr>
                <w:rFonts w:hint="eastAsia" w:cs="宋体" w:asciiTheme="minorEastAsia" w:hAnsiTheme="minorEastAsia"/>
                <w:color w:val="auto"/>
                <w:kern w:val="0"/>
                <w:szCs w:val="21"/>
              </w:rPr>
              <w:t>　　</w:t>
            </w:r>
            <w:r>
              <w:rPr>
                <w:rFonts w:hint="eastAsia" w:cs="Times New Roman" w:asciiTheme="minorEastAsia" w:hAnsiTheme="minorEastAsia"/>
                <w:color w:val="auto"/>
                <w:kern w:val="0"/>
                <w:szCs w:val="21"/>
              </w:rPr>
              <w:t>（三）不予公开</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hint="default" w:cs="宋体" w:asciiTheme="minorEastAsia" w:hAnsiTheme="minorEastAsia"/>
                <w:color w:val="auto"/>
                <w:kern w:val="0"/>
                <w:szCs w:val="21"/>
                <w:lang w:val="en-US"/>
              </w:rPr>
            </w:pP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color w:val="auto"/>
                <w:kern w:val="0"/>
                <w:szCs w:val="21"/>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color w:val="auto"/>
                <w:kern w:val="0"/>
                <w:szCs w:val="21"/>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color w:val="auto"/>
                <w:kern w:val="0"/>
                <w:szCs w:val="21"/>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color w:val="auto"/>
                <w:kern w:val="0"/>
                <w:szCs w:val="21"/>
              </w:rPr>
            </w:pPr>
            <w:r>
              <w:rPr>
                <w:rFonts w:hint="eastAsia" w:cs="宋体" w:asciiTheme="minorEastAsia" w:hAnsiTheme="minorEastAsia"/>
                <w:color w:val="auto"/>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0</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2.其他法律行政法规禁止公开</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3.危及“三安全一稳定”</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4.保护第三方合法权益</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5.属于三类内部事务信息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6.属于四类过程性信息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7.属于行政执法案卷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8.属于行政查询事项</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Times New Roman" w:asciiTheme="minorEastAsia" w:hAnsiTheme="minorEastAsia"/>
                <w:kern w:val="0"/>
                <w:szCs w:val="21"/>
              </w:rPr>
              <w:t>（四）无法提供</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1.本机关不掌握相关政府信息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kern w:val="0"/>
                <w:szCs w:val="21"/>
                <w:lang w:val="en-US"/>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kern w:val="0"/>
                <w:szCs w:val="21"/>
                <w:lang w:val="en-US"/>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kern w:val="0"/>
                <w:szCs w:val="21"/>
                <w:lang w:val="en-US"/>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kern w:val="0"/>
                <w:szCs w:val="21"/>
                <w:lang w:val="en-US"/>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kern w:val="0"/>
                <w:szCs w:val="21"/>
                <w:lang w:val="en-US"/>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kern w:val="0"/>
                <w:szCs w:val="21"/>
                <w:lang w:val="en-US"/>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kern w:val="0"/>
                <w:szCs w:val="21"/>
                <w:lang w:val="en-US"/>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2.没有现成信息需要另行制作</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3.补正后申请内容仍不明确</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Times New Roman" w:asciiTheme="minorEastAsia" w:hAnsiTheme="minorEastAsia"/>
                <w:kern w:val="0"/>
                <w:szCs w:val="21"/>
              </w:rPr>
              <w:t>（五）不予处理</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1.信访举报投诉类申请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2.重复申请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3.要求提供公开出版物</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4.无正当理由大量反复申请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5.要求行政机关确认或重新出具已获取信息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41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（六）其他处理</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41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（七）总计</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4</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w:t>
            </w:r>
          </w:p>
        </w:tc>
      </w:tr>
      <w:tr>
        <w:tblPrEx>
          <w:tblCellMar>
            <w:top w:w="15" w:type="dxa"/>
            <w:left w:w="15" w:type="dxa"/>
            <w:bottom w:w="15" w:type="dxa"/>
            <w:right w:w="15" w:type="dxa"/>
          </w:tblCellMar>
        </w:tblPrEx>
        <w:trPr>
          <w:jc w:val="center"/>
        </w:trPr>
        <w:tc>
          <w:tcPr>
            <w:tcW w:w="481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四、结转下年度继续办理</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四、政府信息公开行政复议、行政诉讼情况</w:t>
      </w:r>
    </w:p>
    <w:tbl>
      <w:tblPr>
        <w:tblStyle w:val="5"/>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行政诉讼</w:t>
            </w:r>
          </w:p>
        </w:tc>
      </w:tr>
      <w:tr>
        <w:tblPrEx>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尚未</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总</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复议后起诉</w:t>
            </w:r>
          </w:p>
        </w:tc>
      </w:tr>
      <w:tr>
        <w:tblPrEx>
          <w:tblCellMar>
            <w:top w:w="15" w:type="dxa"/>
            <w:left w:w="15" w:type="dxa"/>
            <w:bottom w:w="15" w:type="dxa"/>
            <w:right w:w="15" w:type="dxa"/>
          </w:tblCellMar>
        </w:tblPrEx>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其他</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尚未</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其他</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bl>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五、存在的主要问题及改进情况</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宋体"/>
          <w:color w:val="000000"/>
          <w:kern w:val="0"/>
          <w:sz w:val="32"/>
          <w:szCs w:val="32"/>
          <w:shd w:val="clear" w:color="auto" w:fill="FFFFFF"/>
        </w:rPr>
      </w:pPr>
      <w:r>
        <w:rPr>
          <w:rFonts w:hint="eastAsia" w:ascii="楷体_GB2312" w:hAnsi="宋体" w:eastAsia="楷体_GB2312" w:cs="宋体"/>
          <w:color w:val="000000"/>
          <w:kern w:val="0"/>
          <w:sz w:val="32"/>
          <w:szCs w:val="32"/>
          <w:shd w:val="clear" w:color="auto" w:fill="FFFFFF"/>
        </w:rPr>
        <w:t>（一）20</w:t>
      </w:r>
      <w:r>
        <w:rPr>
          <w:rFonts w:hint="eastAsia" w:ascii="楷体_GB2312" w:hAnsi="宋体" w:eastAsia="楷体_GB2312" w:cs="宋体"/>
          <w:color w:val="000000"/>
          <w:kern w:val="0"/>
          <w:sz w:val="32"/>
          <w:szCs w:val="32"/>
          <w:shd w:val="clear" w:color="auto" w:fill="FFFFFF"/>
          <w:lang w:val="en-US" w:eastAsia="zh-CN"/>
        </w:rPr>
        <w:t>19</w:t>
      </w:r>
      <w:r>
        <w:rPr>
          <w:rFonts w:hint="eastAsia" w:ascii="楷体_GB2312" w:hAnsi="宋体" w:eastAsia="楷体_GB2312" w:cs="宋体"/>
          <w:color w:val="000000"/>
          <w:kern w:val="0"/>
          <w:sz w:val="32"/>
          <w:szCs w:val="32"/>
          <w:shd w:val="clear" w:color="auto" w:fill="FFFFFF"/>
        </w:rPr>
        <w:t>年问题整改情况。</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kern w:val="0"/>
          <w:sz w:val="32"/>
          <w:szCs w:val="32"/>
          <w:lang w:val="en-US" w:eastAsia="zh-CN" w:bidi="ar"/>
        </w:rPr>
      </w:pPr>
      <w:r>
        <w:rPr>
          <w:rFonts w:hint="eastAsia" w:ascii="仿宋_GB2312" w:eastAsia="仿宋_GB2312" w:cs="仿宋_GB2312"/>
          <w:color w:val="auto"/>
          <w:kern w:val="0"/>
          <w:sz w:val="32"/>
          <w:szCs w:val="32"/>
          <w:lang w:val="en-US" w:eastAsia="zh-CN" w:bidi="ar"/>
        </w:rPr>
        <w:t>针对去年存在的问题，2020年我局加大信息公开力度，在门户网站及时发布民众关切问题，不断提升公众参与度，强化政民互动，提高互动效果。同时公开监督建议电话、邮箱和单位地址，对收到的信件及时处理、答复。</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（二）20</w:t>
      </w:r>
      <w:r>
        <w:rPr>
          <w:rFonts w:hint="eastAsia" w:ascii="楷体_GB2312" w:hAnsi="宋体" w:eastAsia="楷体_GB2312" w:cs="宋体"/>
          <w:color w:val="000000"/>
          <w:kern w:val="0"/>
          <w:sz w:val="32"/>
          <w:szCs w:val="32"/>
          <w:shd w:val="clear" w:color="auto" w:fill="FFFFFF"/>
          <w:lang w:val="en-US" w:eastAsia="zh-CN"/>
        </w:rPr>
        <w:t>20</w:t>
      </w:r>
      <w:r>
        <w:rPr>
          <w:rFonts w:hint="eastAsia" w:ascii="楷体_GB2312" w:hAnsi="宋体" w:eastAsia="楷体_GB2312" w:cs="宋体"/>
          <w:color w:val="000000"/>
          <w:kern w:val="0"/>
          <w:sz w:val="32"/>
          <w:szCs w:val="32"/>
          <w:shd w:val="clear" w:color="auto" w:fill="FFFFFF"/>
        </w:rPr>
        <w:t>年存在的主要问题。</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kern w:val="0"/>
          <w:sz w:val="32"/>
          <w:szCs w:val="32"/>
          <w:lang w:val="en-US" w:eastAsia="zh-CN" w:bidi="ar"/>
        </w:rPr>
      </w:pPr>
      <w:r>
        <w:rPr>
          <w:rFonts w:hint="eastAsia" w:ascii="仿宋_GB2312" w:eastAsia="仿宋_GB2312" w:cs="仿宋_GB2312"/>
          <w:color w:val="auto"/>
          <w:kern w:val="0"/>
          <w:sz w:val="32"/>
          <w:szCs w:val="32"/>
          <w:lang w:val="en-US" w:eastAsia="zh-CN" w:bidi="ar"/>
        </w:rPr>
        <w:t>一是政府信息公开政策宣传力度有待加强;二是政府信息公开目录有待细化，主动公开的政府信息内容有待深化;三是政府信息公开的主动性有待进一步提高；四是专业人才少，政务公开人员兼职开展工作，造成工作被动。</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（三）改进措施。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kern w:val="0"/>
          <w:sz w:val="32"/>
          <w:szCs w:val="32"/>
          <w:lang w:val="en-US" w:eastAsia="zh-CN" w:bidi="ar"/>
        </w:rPr>
      </w:pPr>
      <w:r>
        <w:rPr>
          <w:rFonts w:hint="eastAsia" w:ascii="仿宋_GB2312" w:eastAsia="仿宋_GB2312" w:cs="仿宋_GB2312"/>
          <w:color w:val="auto"/>
          <w:kern w:val="0"/>
          <w:sz w:val="32"/>
          <w:szCs w:val="32"/>
          <w:lang w:val="en-US" w:eastAsia="zh-CN" w:bidi="ar"/>
        </w:rPr>
        <w:t>一是充实信息公开内容。以社会关注度高、公共利益大的公共信息作为突破口，积极推进重大项目及项目服务信息的公开工作，让公众更多地了解发改工作。二是规范政府信息公开行为。建立和完善信息公开各项制度，及时公布信息，切实做到信息公开的内容常换常新，并确保公开信息质量，确保政府信息公开工作制度化、规范化。三是提高主动公开的积极性。认真学习借鉴其他单位有关信息公开的先进做法和经验，主动公开发改局的各项工作，让广大服务对象了解发改方面政府信息公开的相关情况，全面推进市发改局信息公开工作。四是强化工作考核。进一步提高对信息公开工作重要性的认识，将信息公开工作切实落实到日常工作中。将政务公开工作纳入科室日常考核和年度考核，以考核的方式倒逼工作人员主动公开意识的提高。</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left"/>
        <w:textAlignment w:val="auto"/>
        <w:rPr>
          <w:rFonts w:hint="eastAsia" w:ascii="仿宋_GB2312" w:hAnsi="仿宋_GB2312" w:eastAsia="仿宋_GB2312" w:cs="仿宋_GB2312"/>
          <w:kern w:val="0"/>
          <w:sz w:val="32"/>
          <w:szCs w:val="32"/>
          <w:lang w:val="en-US" w:eastAsia="zh-CN" w:bidi="ar"/>
        </w:rPr>
      </w:pPr>
      <w:r>
        <w:rPr>
          <w:rFonts w:hint="eastAsia"/>
          <w:color w:val="000000"/>
          <w:sz w:val="21"/>
          <w:szCs w:val="21"/>
        </w:rPr>
        <w:t xml:space="preserve">  </w:t>
      </w:r>
      <w:r>
        <w:rPr>
          <w:rFonts w:hint="eastAsia" w:ascii="楷体_GB2312" w:hAnsi="楷体_GB2312" w:eastAsia="楷体_GB2312" w:cs="楷体_GB2312"/>
          <w:kern w:val="0"/>
          <w:sz w:val="32"/>
          <w:szCs w:val="32"/>
          <w:lang w:val="en-US" w:eastAsia="zh-CN" w:bidi="ar"/>
        </w:rPr>
        <w:t>人大建议、政协提案办理情况。</w:t>
      </w:r>
      <w:r>
        <w:rPr>
          <w:rFonts w:hint="eastAsia" w:ascii="仿宋_GB2312" w:hAnsi="仿宋_GB2312" w:eastAsia="仿宋_GB2312" w:cs="仿宋_GB2312"/>
          <w:kern w:val="0"/>
          <w:sz w:val="32"/>
          <w:szCs w:val="32"/>
          <w:lang w:val="en-US" w:eastAsia="zh-CN" w:bidi="ar"/>
        </w:rPr>
        <w:t>2020年，共收到市十八届人大三次会议人大代表建议0件。收到政协十届三次会议政协委员提案3件，主动向社会公开委员提案办理结果信息3件。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drawing>
          <wp:inline distT="0" distB="0" distL="114300" distR="114300">
            <wp:extent cx="5273040" cy="3249930"/>
            <wp:effectExtent l="0" t="0" r="3810" b="762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273040" cy="3249930"/>
                    </a:xfrm>
                    <a:prstGeom prst="rect">
                      <a:avLst/>
                    </a:prstGeom>
                  </pic:spPr>
                </pic:pic>
              </a:graphicData>
            </a:graphic>
          </wp:inline>
        </w:drawing>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200"/>
        <w:jc w:val="both"/>
        <w:textAlignment w:val="auto"/>
        <w:rPr>
          <w:rFonts w:hint="eastAsia" w:ascii="仿宋_GB2312" w:eastAsia="仿宋_GB2312"/>
          <w:color w:val="000000"/>
          <w:sz w:val="32"/>
          <w:szCs w:val="32"/>
          <w:shd w:val="clear" w:color="auto" w:fill="FFFFFF"/>
          <w:lang w:val="en-US" w:eastAsia="zh-CN"/>
        </w:rPr>
      </w:pP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安丘市</w:t>
      </w:r>
      <w:r>
        <w:rPr>
          <w:rFonts w:hint="eastAsia" w:ascii="仿宋_GB2312" w:hAnsi="宋体" w:eastAsia="仿宋_GB2312" w:cs="宋体"/>
          <w:color w:val="000000"/>
          <w:kern w:val="0"/>
          <w:sz w:val="32"/>
          <w:szCs w:val="32"/>
          <w:lang w:val="en-US" w:eastAsia="zh-CN"/>
        </w:rPr>
        <w:t>发展和改革局</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年1月</w:t>
      </w:r>
      <w:r>
        <w:rPr>
          <w:rFonts w:hint="eastAsia" w:ascii="仿宋_GB2312" w:hAnsi="宋体" w:eastAsia="仿宋_GB2312" w:cs="宋体"/>
          <w:color w:val="000000"/>
          <w:kern w:val="0"/>
          <w:sz w:val="32"/>
          <w:szCs w:val="32"/>
          <w:lang w:val="en-US" w:eastAsia="zh-CN"/>
        </w:rPr>
        <w:t>25</w:t>
      </w:r>
      <w:r>
        <w:rPr>
          <w:rFonts w:hint="eastAsia" w:ascii="仿宋_GB2312" w:hAnsi="宋体" w:eastAsia="仿宋_GB2312" w:cs="宋体"/>
          <w:color w:val="000000"/>
          <w:kern w:val="0"/>
          <w:sz w:val="32"/>
          <w:szCs w:val="32"/>
        </w:rPr>
        <w:t>日</w:t>
      </w:r>
      <w:r>
        <w:rPr>
          <w:rFonts w:hint="eastAsia" w:ascii="仿宋_GB2312" w:hAnsi="宋体" w:eastAsia="仿宋_GB2312" w:cs="宋体"/>
          <w:color w:val="000000"/>
          <w:kern w:val="0"/>
          <w:sz w:val="32"/>
          <w:szCs w:val="32"/>
          <w:lang w:val="en-US" w:eastAsia="zh-CN"/>
        </w:rPr>
        <w:t xml:space="preserve">    </w:t>
      </w:r>
    </w:p>
    <w:p>
      <w:pPr>
        <w:spacing w:line="60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92192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F5"/>
    <w:rsid w:val="001F51A9"/>
    <w:rsid w:val="003E1CD0"/>
    <w:rsid w:val="007038EC"/>
    <w:rsid w:val="007E23FC"/>
    <w:rsid w:val="00927C14"/>
    <w:rsid w:val="00AA59F5"/>
    <w:rsid w:val="00B849C1"/>
    <w:rsid w:val="00BD16AA"/>
    <w:rsid w:val="06D27AE3"/>
    <w:rsid w:val="08401187"/>
    <w:rsid w:val="086724DF"/>
    <w:rsid w:val="08D04231"/>
    <w:rsid w:val="08F67900"/>
    <w:rsid w:val="09574D2E"/>
    <w:rsid w:val="0AFD156B"/>
    <w:rsid w:val="0B5A4CA7"/>
    <w:rsid w:val="0B953188"/>
    <w:rsid w:val="0BC064C5"/>
    <w:rsid w:val="0E646D2A"/>
    <w:rsid w:val="128A09A1"/>
    <w:rsid w:val="169E580B"/>
    <w:rsid w:val="16FA7BBD"/>
    <w:rsid w:val="19175104"/>
    <w:rsid w:val="1D2D18EB"/>
    <w:rsid w:val="1E0A0D7A"/>
    <w:rsid w:val="23496334"/>
    <w:rsid w:val="29650F2D"/>
    <w:rsid w:val="2C4F0943"/>
    <w:rsid w:val="2E512553"/>
    <w:rsid w:val="2FE859A1"/>
    <w:rsid w:val="2FF06F79"/>
    <w:rsid w:val="33CC5576"/>
    <w:rsid w:val="34AC2B69"/>
    <w:rsid w:val="37843D2C"/>
    <w:rsid w:val="47127BAD"/>
    <w:rsid w:val="4726369E"/>
    <w:rsid w:val="4C251AC3"/>
    <w:rsid w:val="4E421459"/>
    <w:rsid w:val="52EE79C1"/>
    <w:rsid w:val="55F67ACE"/>
    <w:rsid w:val="594E086B"/>
    <w:rsid w:val="5A2E2A48"/>
    <w:rsid w:val="5B7859D1"/>
    <w:rsid w:val="5CDB711E"/>
    <w:rsid w:val="5CEB2FA5"/>
    <w:rsid w:val="639F3D0D"/>
    <w:rsid w:val="692A5DFC"/>
    <w:rsid w:val="6B1241A6"/>
    <w:rsid w:val="79B5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rFonts w:hint="eastAsia" w:ascii="微软雅黑" w:hAnsi="微软雅黑" w:eastAsia="微软雅黑" w:cs="微软雅黑"/>
      <w:color w:val="800080"/>
      <w:u w:val="none"/>
    </w:rPr>
  </w:style>
  <w:style w:type="character" w:styleId="8">
    <w:name w:val="Hyperlink"/>
    <w:basedOn w:val="6"/>
    <w:semiHidden/>
    <w:unhideWhenUsed/>
    <w:qFormat/>
    <w:uiPriority w:val="99"/>
    <w:rPr>
      <w:rFonts w:ascii="微软雅黑" w:hAnsi="微软雅黑" w:eastAsia="微软雅黑" w:cs="微软雅黑"/>
      <w:color w:val="0000FF"/>
      <w:u w:val="non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hover12"/>
    <w:basedOn w:val="6"/>
    <w:qFormat/>
    <w:uiPriority w:val="0"/>
    <w:rPr>
      <w:shd w:val="clear" w:fill="003D9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865</Words>
  <Characters>4934</Characters>
  <Lines>41</Lines>
  <Paragraphs>11</Paragraphs>
  <TotalTime>38</TotalTime>
  <ScaleCrop>false</ScaleCrop>
  <LinksUpToDate>false</LinksUpToDate>
  <CharactersWithSpaces>5788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2020-07-13T06:34:00Z</dcterms:created>
  <dc:creator>zhangzh</dc:creator>
  <cp:lastModifiedBy>辛芜</cp:lastModifiedBy>
  <cp:lastPrinted>2021-01-25T06:55:00Z</cp:lastPrinted>
  <dcterms:modified xsi:type="dcterms:W3CDTF">2022-01-13T02:48:35Z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74D31A492EED4156A1C340F6A488F42B</vt:lpwstr>
  </property>
</Properties>
</file>