
<file path=[Content_Types].xml><?xml version="1.0" encoding="utf-8"?>
<Types xmlns="http://schemas.openxmlformats.org/package/2006/content-types">
  <Default Extension="xlsx" ContentType="application/vnd.openxmlformats-officedocument.spreadsheetml.sheet"/>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714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t>安丘市石堆镇人民政府</w:t>
      </w: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t>2024年政府信息</w:t>
      </w:r>
    </w:p>
    <w:p w14:paraId="4327F9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t>公开工作年度报告</w:t>
      </w:r>
    </w:p>
    <w:p w14:paraId="5F8E6450">
      <w:pPr>
        <w:pStyle w:val="3"/>
        <w:rPr>
          <w:rFonts w:hint="eastAsia"/>
          <w:lang w:val="en-US" w:eastAsia="zh-CN"/>
        </w:rPr>
      </w:pPr>
    </w:p>
    <w:p w14:paraId="1897953C">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14:paraId="406D49B8">
      <w:pPr>
        <w:keepNext w:val="0"/>
        <w:keepLines w:val="0"/>
        <w:pageBreakBefore w:val="0"/>
        <w:kinsoku/>
        <w:wordWrap/>
        <w:overflowPunct/>
        <w:topLinePunct w:val="0"/>
        <w:autoSpaceDN/>
        <w:bidi w:val="0"/>
        <w:adjustRightInd/>
        <w:snapToGrid/>
        <w:spacing w:afterAutospacing="0"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一、总体情况</w:t>
      </w:r>
    </w:p>
    <w:p w14:paraId="2AEC24D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2024年，石堆镇认真贯彻《中华人民共和国政府信息公开条例》，深入推进法治政府建设，加大政府信息公开力度，不断改进工作方法，深化重点领域信息公开，加强组织领导，明确责任、强化监督、主动推进，积极完成政务公开各项工作，确保全镇政府信息公开工作取得新进展。</w:t>
      </w:r>
    </w:p>
    <w:p w14:paraId="7EB5CCB0">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（一）主动公开</w:t>
      </w:r>
    </w:p>
    <w:p w14:paraId="557E3AF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1.体制机制建设情况</w:t>
      </w:r>
    </w:p>
    <w:p w14:paraId="27E4389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宋体" w:eastAsia="仿宋_GB2312" w:cs="仿宋_GB2312"/>
          <w:i w:val="0"/>
          <w:iCs w:val="0"/>
          <w:caps w:val="0"/>
          <w:color w:val="333333"/>
          <w:spacing w:val="0"/>
          <w:sz w:val="32"/>
          <w:szCs w:val="32"/>
          <w:shd w:val="clear" w:fill="FFFFFF"/>
          <w:lang w:val="en-US" w:eastAsia="zh-CN"/>
        </w:rPr>
        <w:t>进一步</w:t>
      </w:r>
      <w:r>
        <w:rPr>
          <w:rFonts w:ascii="仿宋_GB2312" w:hAnsi="宋体" w:eastAsia="仿宋_GB2312" w:cs="仿宋_GB2312"/>
          <w:i w:val="0"/>
          <w:iCs w:val="0"/>
          <w:caps w:val="0"/>
          <w:color w:val="333333"/>
          <w:spacing w:val="0"/>
          <w:sz w:val="32"/>
          <w:szCs w:val="32"/>
          <w:shd w:val="clear" w:fill="FFFFFF"/>
        </w:rPr>
        <w:t>规范政府信息公开发布流程、依申请公开办理流程，政务公开领导小组及时调整，</w:t>
      </w:r>
      <w:r>
        <w:rPr>
          <w:rFonts w:hint="eastAsia" w:ascii="仿宋_GB2312" w:hAnsi="宋体" w:eastAsia="仿宋_GB2312" w:cs="仿宋_GB2312"/>
          <w:i w:val="0"/>
          <w:iCs w:val="0"/>
          <w:caps w:val="0"/>
          <w:color w:val="333333"/>
          <w:spacing w:val="0"/>
          <w:sz w:val="32"/>
          <w:szCs w:val="32"/>
          <w:shd w:val="clear" w:fill="FFFFFF"/>
        </w:rPr>
        <w:t>形成“主要领导亲自抓，分管领导具体抓，职能部门抓落实”的工作机制。</w:t>
      </w:r>
    </w:p>
    <w:p w14:paraId="1281184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3"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2.主动公开信息情况</w:t>
      </w:r>
    </w:p>
    <w:p w14:paraId="3CEF6DE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2024年，石堆镇认真履行政府信息公开工作职责，</w:t>
      </w:r>
      <w:r>
        <w:rPr>
          <w:rFonts w:ascii="仿宋_GB2312" w:hAnsi="宋体" w:eastAsia="仿宋_GB2312" w:cs="仿宋_GB2312"/>
          <w:i w:val="0"/>
          <w:iCs w:val="0"/>
          <w:caps w:val="0"/>
          <w:color w:val="333333"/>
          <w:spacing w:val="0"/>
          <w:sz w:val="32"/>
          <w:szCs w:val="32"/>
          <w:shd w:val="clear" w:fill="FFFFFF"/>
        </w:rPr>
        <w:t>主动公开本单位机关职能、机构设置、领导成员和分工、政策文件、政务动态等信息</w:t>
      </w:r>
      <w:r>
        <w:rPr>
          <w:rFonts w:hint="eastAsia" w:ascii="仿宋_GB2312" w:hAnsi="宋体"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sz w:val="32"/>
          <w:szCs w:val="32"/>
          <w:highlight w:val="none"/>
          <w:lang w:val="en-US" w:eastAsia="zh-CN"/>
        </w:rPr>
        <w:t>及时公开法律、法规、规章和国家有关规定应当主动公开的其他政府信息</w:t>
      </w:r>
      <w:r>
        <w:rPr>
          <w:rFonts w:hint="eastAsia" w:ascii="仿宋_GB2312" w:hAnsi="宋体"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sz w:val="32"/>
          <w:szCs w:val="32"/>
          <w:highlight w:val="none"/>
          <w:lang w:val="en-US" w:eastAsia="zh-CN"/>
        </w:rPr>
        <w:t>全年主动公开各类政府信息501条，较去年相比增加60条，同比增长13.6％。其中</w:t>
      </w:r>
      <w:r>
        <w:rPr>
          <w:rFonts w:ascii="仿宋_GB2312" w:hAnsi="宋体" w:eastAsia="仿宋_GB2312" w:cs="仿宋_GB2312"/>
          <w:i w:val="0"/>
          <w:iCs w:val="0"/>
          <w:caps w:val="0"/>
          <w:color w:val="333333"/>
          <w:spacing w:val="0"/>
          <w:sz w:val="32"/>
          <w:szCs w:val="32"/>
          <w:shd w:val="clear" w:fill="FFFFFF"/>
        </w:rPr>
        <w:t>安丘市人民政府门户网站</w:t>
      </w:r>
      <w:r>
        <w:rPr>
          <w:rFonts w:hint="eastAsia" w:ascii="仿宋_GB2312" w:hAnsi="宋体" w:eastAsia="仿宋_GB2312" w:cs="仿宋_GB2312"/>
          <w:i w:val="0"/>
          <w:iCs w:val="0"/>
          <w:caps w:val="0"/>
          <w:color w:val="333333"/>
          <w:spacing w:val="0"/>
          <w:sz w:val="32"/>
          <w:szCs w:val="32"/>
          <w:shd w:val="clear" w:fill="FFFFFF"/>
          <w:lang w:val="en-US" w:eastAsia="zh-CN"/>
        </w:rPr>
        <w:t>132</w:t>
      </w:r>
      <w:r>
        <w:rPr>
          <w:rFonts w:ascii="仿宋_GB2312" w:hAnsi="宋体" w:eastAsia="仿宋_GB2312" w:cs="仿宋_GB2312"/>
          <w:i w:val="0"/>
          <w:iCs w:val="0"/>
          <w:caps w:val="0"/>
          <w:color w:val="333333"/>
          <w:spacing w:val="0"/>
          <w:sz w:val="32"/>
          <w:szCs w:val="32"/>
          <w:shd w:val="clear" w:fill="FFFFFF"/>
        </w:rPr>
        <w:t>条，其他方式</w:t>
      </w:r>
      <w:r>
        <w:rPr>
          <w:rFonts w:hint="eastAsia" w:ascii="仿宋_GB2312" w:hAnsi="宋体" w:eastAsia="仿宋_GB2312" w:cs="仿宋_GB2312"/>
          <w:i w:val="0"/>
          <w:iCs w:val="0"/>
          <w:caps w:val="0"/>
          <w:color w:val="333333"/>
          <w:spacing w:val="0"/>
          <w:sz w:val="32"/>
          <w:szCs w:val="32"/>
          <w:shd w:val="clear" w:fill="FFFFFF"/>
          <w:lang w:val="en-US" w:eastAsia="zh-CN"/>
        </w:rPr>
        <w:t>369</w:t>
      </w:r>
      <w:r>
        <w:rPr>
          <w:rFonts w:ascii="仿宋_GB2312" w:hAnsi="宋体" w:eastAsia="仿宋_GB2312" w:cs="仿宋_GB2312"/>
          <w:i w:val="0"/>
          <w:iCs w:val="0"/>
          <w:caps w:val="0"/>
          <w:color w:val="333333"/>
          <w:spacing w:val="0"/>
          <w:sz w:val="32"/>
          <w:szCs w:val="32"/>
          <w:shd w:val="clear" w:fill="FFFFFF"/>
        </w:rPr>
        <w:t>条</w:t>
      </w:r>
      <w:r>
        <w:rPr>
          <w:rFonts w:hint="eastAsia" w:ascii="仿宋_GB2312" w:hAnsi="宋体" w:eastAsia="仿宋_GB2312" w:cs="仿宋_GB2312"/>
          <w:i w:val="0"/>
          <w:iCs w:val="0"/>
          <w:caps w:val="0"/>
          <w:color w:val="333333"/>
          <w:spacing w:val="0"/>
          <w:sz w:val="32"/>
          <w:szCs w:val="32"/>
          <w:shd w:val="clear" w:fill="FFFFFF"/>
          <w:lang w:eastAsia="zh-CN"/>
        </w:rPr>
        <w:t>。</w:t>
      </w:r>
    </w:p>
    <w:p w14:paraId="2F8D4CB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3" w:firstLineChars="200"/>
        <w:textAlignment w:val="auto"/>
        <w:rPr>
          <w:rFonts w:hint="default"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3.解读回应关切</w:t>
      </w:r>
    </w:p>
    <w:p w14:paraId="407FC7E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lang w:eastAsia="zh-CN"/>
        </w:rPr>
      </w:pPr>
      <w:r>
        <w:rPr>
          <w:rFonts w:hint="eastAsia" w:ascii="仿宋_GB2312" w:hAnsi="仿宋_GB2312" w:eastAsia="仿宋_GB2312" w:cs="仿宋_GB2312"/>
          <w:kern w:val="2"/>
          <w:sz w:val="32"/>
          <w:szCs w:val="32"/>
          <w:highlight w:val="none"/>
          <w:lang w:val="en-US" w:eastAsia="zh-CN" w:bidi="ar-SA"/>
        </w:rPr>
        <w:t> </w:t>
      </w:r>
      <w:r>
        <w:rPr>
          <w:rFonts w:ascii="仿宋_GB2312" w:hAnsi="宋体" w:eastAsia="仿宋_GB2312" w:cs="仿宋_GB2312"/>
          <w:i w:val="0"/>
          <w:iCs w:val="0"/>
          <w:caps w:val="0"/>
          <w:color w:val="333333"/>
          <w:spacing w:val="0"/>
          <w:sz w:val="32"/>
          <w:szCs w:val="32"/>
          <w:shd w:val="clear" w:fill="FFFFFF"/>
        </w:rPr>
        <w:t>我镇依托市政府门户网站、</w:t>
      </w:r>
      <w:r>
        <w:rPr>
          <w:rFonts w:hint="eastAsia" w:ascii="仿宋_GB2312" w:hAnsi="宋体" w:eastAsia="仿宋_GB2312" w:cs="仿宋_GB2312"/>
          <w:i w:val="0"/>
          <w:iCs w:val="0"/>
          <w:caps w:val="0"/>
          <w:color w:val="333333"/>
          <w:spacing w:val="0"/>
          <w:sz w:val="32"/>
          <w:szCs w:val="32"/>
          <w:shd w:val="clear" w:fill="FFFFFF"/>
          <w:lang w:val="en-US" w:eastAsia="zh-CN"/>
        </w:rPr>
        <w:t>政务公开栏、</w:t>
      </w:r>
      <w:r>
        <w:rPr>
          <w:rFonts w:hint="eastAsia" w:ascii="仿宋_GB2312" w:hAnsi="宋体" w:eastAsia="仿宋_GB2312" w:cs="仿宋_GB2312"/>
          <w:i w:val="0"/>
          <w:iCs w:val="0"/>
          <w:caps w:val="0"/>
          <w:color w:val="333333"/>
          <w:spacing w:val="0"/>
          <w:sz w:val="32"/>
          <w:szCs w:val="32"/>
          <w:shd w:val="clear" w:fill="FFFFFF"/>
        </w:rPr>
        <w:t>“阳光议事日”等多渠道</w:t>
      </w:r>
      <w:r>
        <w:rPr>
          <w:rFonts w:hint="eastAsia" w:ascii="仿宋_GB2312" w:hAnsi="宋体" w:eastAsia="仿宋_GB2312" w:cs="仿宋_GB2312"/>
          <w:i w:val="0"/>
          <w:iCs w:val="0"/>
          <w:caps w:val="0"/>
          <w:color w:val="333333"/>
          <w:spacing w:val="0"/>
          <w:sz w:val="32"/>
          <w:szCs w:val="32"/>
          <w:shd w:val="clear" w:fill="FFFFFF"/>
          <w:lang w:eastAsia="zh-CN"/>
        </w:rPr>
        <w:t>，</w:t>
      </w:r>
      <w:r>
        <w:rPr>
          <w:rFonts w:hint="eastAsia" w:ascii="仿宋_GB2312" w:hAnsi="宋体" w:eastAsia="仿宋_GB2312" w:cs="仿宋_GB2312"/>
          <w:i w:val="0"/>
          <w:iCs w:val="0"/>
          <w:caps w:val="0"/>
          <w:color w:val="333333"/>
          <w:spacing w:val="0"/>
          <w:sz w:val="32"/>
          <w:szCs w:val="32"/>
          <w:shd w:val="clear" w:fill="FFFFFF"/>
        </w:rPr>
        <w:t>及时</w:t>
      </w:r>
      <w:r>
        <w:rPr>
          <w:rFonts w:hint="eastAsia" w:ascii="仿宋_GB2312" w:hAnsi="宋体" w:eastAsia="仿宋_GB2312" w:cs="仿宋_GB2312"/>
          <w:i w:val="0"/>
          <w:iCs w:val="0"/>
          <w:caps w:val="0"/>
          <w:color w:val="333333"/>
          <w:spacing w:val="0"/>
          <w:sz w:val="32"/>
          <w:szCs w:val="32"/>
          <w:shd w:val="clear" w:fill="FFFFFF"/>
          <w:lang w:val="en-US" w:eastAsia="zh-CN"/>
        </w:rPr>
        <w:t>公开</w:t>
      </w:r>
      <w:r>
        <w:rPr>
          <w:rFonts w:hint="eastAsia" w:ascii="仿宋_GB2312" w:hAnsi="宋体" w:eastAsia="仿宋_GB2312" w:cs="仿宋_GB2312"/>
          <w:i w:val="0"/>
          <w:iCs w:val="0"/>
          <w:caps w:val="0"/>
          <w:color w:val="333333"/>
          <w:spacing w:val="0"/>
          <w:sz w:val="32"/>
          <w:szCs w:val="32"/>
          <w:shd w:val="clear" w:fill="FFFFFF"/>
        </w:rPr>
        <w:t>相关政策，积极回应群众关切问题，</w:t>
      </w:r>
      <w:r>
        <w:rPr>
          <w:rFonts w:hint="eastAsia" w:ascii="仿宋_GB2312" w:hAnsi="宋体" w:eastAsia="仿宋_GB2312" w:cs="仿宋_GB2312"/>
          <w:i w:val="0"/>
          <w:iCs w:val="0"/>
          <w:caps w:val="0"/>
          <w:color w:val="333333"/>
          <w:spacing w:val="0"/>
          <w:sz w:val="32"/>
          <w:szCs w:val="32"/>
          <w:shd w:val="clear" w:fill="FFFFFF"/>
          <w:lang w:val="en-US" w:eastAsia="zh-CN"/>
        </w:rPr>
        <w:t>以群众需求为导向</w:t>
      </w:r>
      <w:r>
        <w:rPr>
          <w:rFonts w:hint="eastAsia" w:ascii="仿宋_GB2312" w:hAnsi="宋体" w:eastAsia="仿宋_GB2312" w:cs="仿宋_GB2312"/>
          <w:i w:val="0"/>
          <w:iCs w:val="0"/>
          <w:caps w:val="0"/>
          <w:color w:val="333333"/>
          <w:spacing w:val="0"/>
          <w:sz w:val="32"/>
          <w:szCs w:val="32"/>
          <w:shd w:val="clear" w:fill="FFFFFF"/>
        </w:rPr>
        <w:t>做好精准服务。</w:t>
      </w:r>
    </w:p>
    <w:p w14:paraId="2909A090">
      <w:pPr>
        <w:pStyle w:val="3"/>
        <w:rPr>
          <w:rFonts w:hint="default"/>
          <w:lang w:val="en-US"/>
        </w:rPr>
      </w:pPr>
      <w:r>
        <w:rPr>
          <w:rFonts w:hint="default"/>
          <w:lang w:val="en-US"/>
        </w:rPr>
        <w:drawing>
          <wp:inline distT="0" distB="0" distL="114300" distR="114300">
            <wp:extent cx="4179570" cy="2380615"/>
            <wp:effectExtent l="0" t="0" r="11430" b="635"/>
            <wp:docPr id="4" name="图片 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1"/>
                    <pic:cNvPicPr>
                      <a:picLocks noChangeAspect="1"/>
                    </pic:cNvPicPr>
                  </pic:nvPicPr>
                  <pic:blipFill>
                    <a:blip r:embed="rId4"/>
                    <a:srcRect b="20914"/>
                    <a:stretch>
                      <a:fillRect/>
                    </a:stretch>
                  </pic:blipFill>
                  <pic:spPr>
                    <a:xfrm>
                      <a:off x="0" y="0"/>
                      <a:ext cx="4179570" cy="2380615"/>
                    </a:xfrm>
                    <a:prstGeom prst="rect">
                      <a:avLst/>
                    </a:prstGeom>
                  </pic:spPr>
                </pic:pic>
              </a:graphicData>
            </a:graphic>
          </wp:inline>
        </w:drawing>
      </w:r>
    </w:p>
    <w:p w14:paraId="06021369">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rPr>
      </w:pPr>
    </w:p>
    <w:p w14:paraId="04EDF9E6">
      <w:pPr>
        <w:pStyle w:val="3"/>
        <w:rPr>
          <w:rFonts w:hint="eastAsia" w:eastAsia="宋体"/>
          <w:lang w:val="en-US" w:eastAsia="zh-CN"/>
        </w:rPr>
      </w:pPr>
      <w:r>
        <w:rPr>
          <w:rFonts w:hint="eastAsia" w:eastAsia="宋体"/>
          <w:lang w:val="en-US" w:eastAsia="zh-CN"/>
        </w:rPr>
        <w:drawing>
          <wp:inline distT="0" distB="0" distL="114300" distR="114300">
            <wp:extent cx="4248150" cy="2186940"/>
            <wp:effectExtent l="0" t="0" r="0" b="3810"/>
            <wp:docPr id="1" name="图片 1" descr="C:/Users/15650/Desktop/666.jpg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5650/Desktop/666.jpg666"/>
                    <pic:cNvPicPr>
                      <a:picLocks noChangeAspect="1"/>
                    </pic:cNvPicPr>
                  </pic:nvPicPr>
                  <pic:blipFill>
                    <a:blip r:embed="rId5"/>
                    <a:srcRect t="15683" b="15683"/>
                    <a:stretch>
                      <a:fillRect/>
                    </a:stretch>
                  </pic:blipFill>
                  <pic:spPr>
                    <a:xfrm>
                      <a:off x="0" y="0"/>
                      <a:ext cx="4248150" cy="2186940"/>
                    </a:xfrm>
                    <a:prstGeom prst="rect">
                      <a:avLst/>
                    </a:prstGeom>
                  </pic:spPr>
                </pic:pic>
              </a:graphicData>
            </a:graphic>
          </wp:inline>
        </w:drawing>
      </w:r>
    </w:p>
    <w:p w14:paraId="55D64F9A">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lang w:val="en-US" w:eastAsia="zh-CN"/>
        </w:rPr>
      </w:pPr>
    </w:p>
    <w:p w14:paraId="3828F2B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（二）依申请公开</w:t>
      </w:r>
    </w:p>
    <w:p w14:paraId="069FC8E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建立健全信息公开申请登记、审核、办理、答复、归档的工作制度，着力提升政府信息公开申请办理水平。2024年，我镇收到依申请公开1件，同比去年数量一致，内容为申请公开本镇中小学名录，包括中小学数量、名称、地址及联系方式。已按规定在法定期限内予以答复，未收取相关费用。2023年结转申请0件。全年未发生因政府信息公开被行政复议、</w:t>
      </w:r>
      <w:r>
        <w:rPr>
          <w:rFonts w:hint="eastAsia" w:ascii="仿宋_GB2312" w:hAnsi="仿宋" w:eastAsia="仿宋_GB2312" w:cs="仿宋_GB2312"/>
          <w:kern w:val="0"/>
          <w:sz w:val="32"/>
          <w:szCs w:val="32"/>
          <w:lang w:eastAsia="zh-CN"/>
        </w:rPr>
        <w:t>行政诉讼</w:t>
      </w:r>
      <w:r>
        <w:rPr>
          <w:rFonts w:hint="eastAsia" w:ascii="仿宋_GB2312" w:hAnsi="仿宋_GB2312" w:eastAsia="仿宋_GB2312" w:cs="仿宋_GB2312"/>
          <w:kern w:val="2"/>
          <w:sz w:val="32"/>
          <w:szCs w:val="32"/>
          <w:highlight w:val="none"/>
          <w:lang w:val="en-US" w:eastAsia="zh-CN" w:bidi="ar-SA"/>
        </w:rPr>
        <w:t>情况，无政府信息公开创新情况。</w:t>
      </w:r>
    </w:p>
    <w:p w14:paraId="635476D5">
      <w:pPr>
        <w:pStyle w:val="3"/>
        <w:ind w:left="0" w:leftChars="0" w:firstLine="0" w:firstLineChars="0"/>
      </w:pPr>
      <w:r>
        <w:rPr>
          <w:rFonts w:hint="eastAsia" w:ascii="仿宋_GB2312" w:hAnsi="仿宋_GB2312" w:eastAsia="仿宋_GB2312" w:cs="仿宋_GB2312"/>
          <w:kern w:val="2"/>
          <w:sz w:val="32"/>
          <w:szCs w:val="32"/>
          <w:highlight w:val="black"/>
          <w:lang w:val="en-US" w:eastAsia="zh-CN" w:bidi="ar-SA"/>
        </w:rPr>
        <w:drawing>
          <wp:inline distT="0" distB="0" distL="114300" distR="114300">
            <wp:extent cx="4876165" cy="2131695"/>
            <wp:effectExtent l="4445" t="4445" r="15240" b="1651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8E44D28">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（三）政府信息管理</w:t>
      </w:r>
    </w:p>
    <w:p w14:paraId="1D3541F8">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进一步完善政府信息主动公开目录，规范公开流程，及时对各栏目信息实施动态更新调整。严格按照政府信息全生命周期管理相关制度、政府信息公开保密审查制度，对公开信息进行审查。领导小组统筹调度、办公室牵头专职、相关部门提供内容，保证公开责任合力推进、落实到位。</w:t>
      </w:r>
    </w:p>
    <w:p w14:paraId="71B6BF64">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政府信息公开平台建设</w:t>
      </w:r>
    </w:p>
    <w:p w14:paraId="3E13463A">
      <w:pPr>
        <w:keepNext w:val="0"/>
        <w:keepLines w:val="0"/>
        <w:widowControl/>
        <w:suppressLineNumbers w:val="0"/>
        <w:ind w:firstLine="640" w:firstLineChars="200"/>
        <w:jc w:val="left"/>
        <w:rPr>
          <w:rFonts w:hint="eastAsia"/>
          <w:lang w:val="en-US" w:eastAsia="zh-CN"/>
        </w:rPr>
      </w:pPr>
      <w:r>
        <w:rPr>
          <w:rFonts w:hint="eastAsia" w:ascii="仿宋_GB2312" w:hAnsi="仿宋_GB2312" w:eastAsia="仿宋_GB2312" w:cs="仿宋_GB2312"/>
          <w:sz w:val="32"/>
          <w:szCs w:val="32"/>
          <w:lang w:val="en-US" w:eastAsia="zh-CN"/>
        </w:rPr>
        <w:t>一是充分发挥市政府门户网站信息公开主渠道作用，及时更新政府网站信息，规范完善政府信息公开审查、协调、动态调整等配套制度。二是深化政务专区建设，在政务服务大厅设政府信息公开查阅场所，政府信息查询机保证工作日内正常使用，满足政府信息公开的多样化的需求，提高了工作效率，帮助群众更好了解政策，更快办结业务。</w:t>
      </w:r>
    </w:p>
    <w:p w14:paraId="2FC30A9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（五）监督保障</w:t>
      </w:r>
    </w:p>
    <w:p w14:paraId="38C78468">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强化组织领导，及时调整政务公开领导小组，配齐工作人员负责政务公开工作。二是完善考核机制，设置“政务公开”考核指标，做好考核激励工作。三是加强培训指导，积极参加市级培训会议，全年镇区共开展政务公开培训2次，提升公开队伍专业化水平。四是按时开展社会评议，2024年未发生政府信息公开责任追究情况。五是完善信息公开督查保障制度，一方面</w:t>
      </w:r>
      <w:r>
        <w:rPr>
          <w:rFonts w:hint="eastAsia" w:ascii="仿宋_GB2312" w:hAnsi="仿宋_GB2312" w:eastAsia="仿宋_GB2312" w:cs="仿宋_GB2312"/>
          <w:kern w:val="2"/>
          <w:sz w:val="32"/>
          <w:szCs w:val="32"/>
          <w:highlight w:val="none"/>
          <w:lang w:val="en-US" w:eastAsia="zh-CN" w:bidi="ar-SA"/>
        </w:rPr>
        <w:t>加强人员和经费保障，确保政务公开工作没有后顾之忧，另一方面</w:t>
      </w:r>
      <w:r>
        <w:rPr>
          <w:rFonts w:hint="eastAsia" w:ascii="仿宋_GB2312" w:hAnsi="仿宋_GB2312" w:eastAsia="仿宋_GB2312" w:cs="仿宋_GB2312"/>
          <w:sz w:val="32"/>
          <w:szCs w:val="32"/>
          <w:lang w:val="en-US" w:eastAsia="zh-CN"/>
        </w:rPr>
        <w:t>主动面向社会公开镇区相关信息和监督电话，推动政务公开工作质效提升。</w:t>
      </w:r>
    </w:p>
    <w:p w14:paraId="6C132ECA">
      <w:pPr>
        <w:keepNext w:val="0"/>
        <w:keepLines w:val="0"/>
        <w:pageBreakBefore w:val="0"/>
        <w:kinsoku/>
        <w:wordWrap/>
        <w:overflowPunct/>
        <w:topLinePunct w:val="0"/>
        <w:autoSpaceDN/>
        <w:bidi w:val="0"/>
        <w:adjustRightInd/>
        <w:snapToGrid/>
        <w:spacing w:afterAutospacing="0"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6"/>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60"/>
        <w:gridCol w:w="2260"/>
        <w:gridCol w:w="2260"/>
        <w:gridCol w:w="2260"/>
      </w:tblGrid>
      <w:tr w14:paraId="039A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26BE5B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14:paraId="2A8E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0146A7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14:paraId="686FEA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14:paraId="367175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14:paraId="1A00E1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7807D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7647D7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260" w:type="dxa"/>
            <w:tcBorders>
              <w:top w:val="nil"/>
              <w:left w:val="nil"/>
              <w:bottom w:val="single" w:color="auto" w:sz="8" w:space="0"/>
              <w:right w:val="single" w:color="auto" w:sz="8" w:space="0"/>
            </w:tcBorders>
            <w:tcMar>
              <w:left w:w="57" w:type="dxa"/>
              <w:right w:w="57" w:type="dxa"/>
            </w:tcMar>
            <w:vAlign w:val="center"/>
          </w:tcPr>
          <w:p w14:paraId="221995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tcMar>
              <w:left w:w="57" w:type="dxa"/>
              <w:right w:w="57" w:type="dxa"/>
            </w:tcMar>
            <w:vAlign w:val="center"/>
          </w:tcPr>
          <w:p w14:paraId="726AE3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tcMar>
              <w:left w:w="57" w:type="dxa"/>
              <w:right w:w="57" w:type="dxa"/>
            </w:tcMar>
            <w:vAlign w:val="center"/>
          </w:tcPr>
          <w:p w14:paraId="31CE0C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eastAsia" w:eastAsia="宋体" w:cs="Calibri"/>
                <w:kern w:val="0"/>
                <w:sz w:val="21"/>
                <w:szCs w:val="21"/>
                <w:lang w:val="en-US" w:eastAsia="zh-CN" w:bidi="ar"/>
              </w:rPr>
              <w:t>0</w:t>
            </w:r>
          </w:p>
        </w:tc>
      </w:tr>
      <w:tr w14:paraId="630DC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4B52BF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tcMar>
              <w:left w:w="57" w:type="dxa"/>
              <w:right w:w="57" w:type="dxa"/>
            </w:tcMar>
            <w:vAlign w:val="center"/>
          </w:tcPr>
          <w:p w14:paraId="378D95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tcMar>
              <w:left w:w="57" w:type="dxa"/>
              <w:right w:w="57" w:type="dxa"/>
            </w:tcMar>
            <w:vAlign w:val="center"/>
          </w:tcPr>
          <w:p w14:paraId="5EF6D7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tcMar>
              <w:left w:w="57" w:type="dxa"/>
              <w:right w:w="57" w:type="dxa"/>
            </w:tcMar>
            <w:vAlign w:val="center"/>
          </w:tcPr>
          <w:p w14:paraId="3A505E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eastAsia" w:eastAsia="宋体" w:cs="Calibri"/>
                <w:kern w:val="0"/>
                <w:sz w:val="21"/>
                <w:szCs w:val="21"/>
                <w:lang w:val="en-US" w:eastAsia="zh-CN" w:bidi="ar"/>
              </w:rPr>
              <w:t>0</w:t>
            </w:r>
          </w:p>
        </w:tc>
      </w:tr>
      <w:tr w14:paraId="3BDE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89E16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14:paraId="15A25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739497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tcMar>
              <w:left w:w="57" w:type="dxa"/>
              <w:right w:w="57" w:type="dxa"/>
            </w:tcMar>
            <w:vAlign w:val="center"/>
          </w:tcPr>
          <w:p w14:paraId="759CAC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14:paraId="6CFAA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730B3E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both"/>
              <w:textAlignment w:val="auto"/>
              <w:rPr>
                <w:rFonts w:hint="eastAsia" w:ascii="宋体" w:hAnsi="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tcMar>
              <w:left w:w="57" w:type="dxa"/>
              <w:right w:w="57" w:type="dxa"/>
            </w:tcMar>
            <w:vAlign w:val="center"/>
          </w:tcPr>
          <w:p w14:paraId="295CF8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ascii="宋体" w:hAnsi="宋体" w:cs="宋体"/>
                <w:color w:val="000000"/>
                <w:kern w:val="0"/>
                <w:sz w:val="20"/>
                <w:szCs w:val="20"/>
                <w:lang w:val="en-US" w:eastAsia="zh-CN" w:bidi="ar"/>
              </w:rPr>
            </w:pPr>
            <w:r>
              <w:rPr>
                <w:rFonts w:hint="default" w:ascii="宋体" w:hAnsi="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14:paraId="7392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86DBF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14:paraId="76F5D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3815F3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tcMar>
              <w:left w:w="57" w:type="dxa"/>
              <w:right w:w="57" w:type="dxa"/>
            </w:tcMar>
            <w:vAlign w:val="center"/>
          </w:tcPr>
          <w:p w14:paraId="328B96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14:paraId="6339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304F10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tcMar>
              <w:left w:w="57" w:type="dxa"/>
              <w:right w:w="57" w:type="dxa"/>
            </w:tcMar>
            <w:vAlign w:val="center"/>
          </w:tcPr>
          <w:p w14:paraId="5ED4E7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0</w:t>
            </w:r>
          </w:p>
        </w:tc>
      </w:tr>
      <w:tr w14:paraId="16C88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2D791F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tcMar>
              <w:left w:w="57" w:type="dxa"/>
              <w:right w:w="57" w:type="dxa"/>
            </w:tcMar>
            <w:vAlign w:val="center"/>
          </w:tcPr>
          <w:p w14:paraId="66846E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0</w:t>
            </w:r>
          </w:p>
        </w:tc>
      </w:tr>
      <w:tr w14:paraId="2F62B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F44E7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14:paraId="6121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56F266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14:paraId="622C57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14:paraId="50FE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0ABA48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both"/>
              <w:textAlignment w:val="auto"/>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14:paraId="36F9B5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bl>
    <w:p w14:paraId="489FD1F9">
      <w:pPr>
        <w:keepNext w:val="0"/>
        <w:keepLines w:val="0"/>
        <w:pageBreakBefore w:val="0"/>
        <w:numPr>
          <w:ilvl w:val="0"/>
          <w:numId w:val="0"/>
        </w:numPr>
        <w:kinsoku/>
        <w:overflowPunct/>
        <w:topLinePunct w:val="0"/>
        <w:autoSpaceDN/>
        <w:bidi w:val="0"/>
        <w:adjustRightInd/>
        <w:snapToGrid/>
        <w:spacing w:line="560" w:lineRule="exact"/>
        <w:ind w:firstLine="640" w:firstLineChars="200"/>
        <w:textAlignment w:val="auto"/>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sz w:val="32"/>
          <w:szCs w:val="32"/>
          <w:lang w:val="en-US" w:eastAsia="zh-CN"/>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4C5B61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91A22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left w:w="57" w:type="dxa"/>
              <w:right w:w="57" w:type="dxa"/>
            </w:tcMar>
            <w:vAlign w:val="center"/>
          </w:tcPr>
          <w:p w14:paraId="20B799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14:paraId="24734C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A4C8491">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2038DD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tcMar>
              <w:left w:w="57" w:type="dxa"/>
              <w:right w:w="57" w:type="dxa"/>
            </w:tcMar>
            <w:vAlign w:val="center"/>
          </w:tcPr>
          <w:p w14:paraId="2C85FC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tcMar>
              <w:left w:w="57" w:type="dxa"/>
              <w:right w:w="57" w:type="dxa"/>
            </w:tcMar>
            <w:vAlign w:val="center"/>
          </w:tcPr>
          <w:p w14:paraId="7EC092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14:paraId="41C6D7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40730F6">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38C843B5">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688" w:type="dxa"/>
            <w:tcBorders>
              <w:top w:val="nil"/>
              <w:left w:val="nil"/>
              <w:bottom w:val="single" w:color="auto" w:sz="8" w:space="0"/>
              <w:right w:val="single" w:color="auto" w:sz="8" w:space="0"/>
            </w:tcBorders>
            <w:tcMar>
              <w:left w:w="57" w:type="dxa"/>
              <w:right w:w="57" w:type="dxa"/>
            </w:tcMar>
            <w:vAlign w:val="center"/>
          </w:tcPr>
          <w:p w14:paraId="086518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商业</w:t>
            </w:r>
          </w:p>
          <w:p w14:paraId="262185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tcMar>
              <w:left w:w="57" w:type="dxa"/>
              <w:right w:w="57" w:type="dxa"/>
            </w:tcMar>
            <w:vAlign w:val="center"/>
          </w:tcPr>
          <w:p w14:paraId="18A7A4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科研</w:t>
            </w:r>
          </w:p>
          <w:p w14:paraId="236E48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5C16C6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224698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5DA50D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tcMar>
              <w:left w:w="57" w:type="dxa"/>
              <w:right w:w="57" w:type="dxa"/>
            </w:tcMar>
            <w:vAlign w:val="center"/>
          </w:tcPr>
          <w:p w14:paraId="0283C78E">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r>
      <w:tr w14:paraId="784C16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14:paraId="50B7A4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05A4B1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14:paraId="517A0B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14:paraId="0D603A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68E9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79BA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E2DE2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5794F9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cs="Calibri"/>
                <w:kern w:val="0"/>
                <w:sz w:val="20"/>
                <w:szCs w:val="20"/>
                <w:lang w:val="en-US" w:eastAsia="zh-CN" w:bidi="ar"/>
              </w:rPr>
              <w:t>1</w:t>
            </w:r>
            <w:r>
              <w:rPr>
                <w:rFonts w:hint="default" w:ascii="Calibri" w:hAnsi="Calibri" w:eastAsia="宋体" w:cs="Calibri"/>
                <w:kern w:val="0"/>
                <w:sz w:val="20"/>
                <w:szCs w:val="20"/>
                <w:lang w:val="en-US" w:eastAsia="zh-CN" w:bidi="ar"/>
              </w:rPr>
              <w:t> </w:t>
            </w:r>
          </w:p>
        </w:tc>
      </w:tr>
      <w:tr w14:paraId="71F310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14:paraId="581DE3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06465B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D68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2F3A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14:paraId="2319D1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27DD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14:paraId="224E77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14:paraId="1E9D71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7C5603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4465E7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tcMar>
              <w:left w:w="57" w:type="dxa"/>
              <w:right w:w="57" w:type="dxa"/>
            </w:tcMar>
            <w:vAlign w:val="center"/>
          </w:tcPr>
          <w:p w14:paraId="01B81A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EDC64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14:paraId="6F8D1D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0DA6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0F6C9B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BC88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72BE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14:paraId="6D98A1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cs="Calibri"/>
                <w:kern w:val="0"/>
                <w:sz w:val="20"/>
                <w:szCs w:val="20"/>
                <w:lang w:val="en-US" w:eastAsia="zh-CN" w:bidi="ar"/>
              </w:rPr>
              <w:t>1</w:t>
            </w:r>
          </w:p>
        </w:tc>
      </w:tr>
      <w:tr w14:paraId="6855F2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A7C87C5">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14:paraId="2DE0E7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536347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14:paraId="22DDEF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14:paraId="745EA2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4E04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29A27E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14:paraId="6AC326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14:paraId="659E26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417863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5291FF6">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0E0F57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tcMar>
              <w:left w:w="57" w:type="dxa"/>
              <w:right w:w="57" w:type="dxa"/>
            </w:tcMar>
            <w:vAlign w:val="top"/>
          </w:tcPr>
          <w:p w14:paraId="79A970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14:paraId="599A3E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31048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4D2CDF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3E9D71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0DB5F7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4CEC83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14:paraId="494F8B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582F09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B3DFCDC">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9ED1B2A">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14:paraId="75FABD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14:paraId="3CAC17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5D6F30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2D9F3E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4EB48F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326B7D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2B57CF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030178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6EE02E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7C4D0BE">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9926EDB">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14:paraId="7B9AB0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14:paraId="5A78E2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6C17B2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4A8034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5B2563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25C818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2D7F9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2C2398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1DAA29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A07BE8F">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61A21BF">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14:paraId="6DC014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14:paraId="6FF6AF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5D3D27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2D53A6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3B3352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47C55C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217C79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66AE1D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201714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64FC19D">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9A8952B">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14:paraId="5CB7C8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14:paraId="76E61A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4CAE30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45A0C5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12AB9C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4C886A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474160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03DAA2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64A724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9C71EC">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0DF6D0B0">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14:paraId="344564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14:paraId="197E8F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7F0AEF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3BCCE4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67D6E3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3B25F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2E54E1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682C28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4F0F72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2EF1E9E">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441B0D5">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14:paraId="7B331C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14:paraId="13DDE5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7498C2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720886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631FB5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1B59DE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5F1D9C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4371B2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751314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DB241E">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03CC737">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14:paraId="45807E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14:paraId="13A16F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6BD8A9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44552C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4CD56E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655861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7BA4B9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4560E4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430623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81D63C">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036158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tcMar>
              <w:left w:w="57" w:type="dxa"/>
              <w:right w:w="57" w:type="dxa"/>
            </w:tcMar>
            <w:vAlign w:val="top"/>
          </w:tcPr>
          <w:p w14:paraId="711635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14:paraId="2757A5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6E7D80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47C8AA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5FFB3E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13491D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62C15A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603BFB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5A079D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5761BE1">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6E42294">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14:paraId="7DCCE9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14:paraId="2082A9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55E7CF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5503EE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7B542F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1E00C5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222618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30EA0B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38263D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7688303">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300BE50">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14:paraId="5A80D6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14:paraId="4BFD72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6D7847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2C6AAF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6A720A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7AED26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361C51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55274F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3D0FDB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F86198C">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0C1F19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tcMar>
              <w:left w:w="57" w:type="dxa"/>
              <w:right w:w="57" w:type="dxa"/>
            </w:tcMar>
            <w:vAlign w:val="top"/>
          </w:tcPr>
          <w:p w14:paraId="10A763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14:paraId="0BA88B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49D584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51EFA5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6E0A3F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07D557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2A2196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634F31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01A197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939E915">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9D40CC7">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14:paraId="056F42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14:paraId="376965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003D5E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66F9CF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167B7E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2AA481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2DE890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521ECC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7CE75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804493B">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CADCA46">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14:paraId="7ADD4E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14:paraId="295A07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2740CA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5A66C3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0DDF92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302D5F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36E3D9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3D933D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102F00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538E44E">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51AB784">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14:paraId="3126E9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14:paraId="54C631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2E5DEF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22EAD7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3D4BAB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306DC7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02E84C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4CE70C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0BFD51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8"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B49D129">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0ED75323">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3220" w:type="dxa"/>
            <w:tcBorders>
              <w:top w:val="nil"/>
              <w:left w:val="nil"/>
              <w:bottom w:val="outset" w:color="auto" w:sz="8" w:space="0"/>
              <w:right w:val="single" w:color="auto" w:sz="8" w:space="0"/>
            </w:tcBorders>
            <w:tcMar>
              <w:left w:w="57" w:type="dxa"/>
              <w:right w:w="57" w:type="dxa"/>
            </w:tcMar>
            <w:vAlign w:val="center"/>
          </w:tcPr>
          <w:p w14:paraId="26A7E0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14:paraId="0E1480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14:paraId="5D10D2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14:paraId="0FA4F3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14:paraId="141D0D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14:paraId="4DEE41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14:paraId="2EB84A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top"/>
          </w:tcPr>
          <w:p w14:paraId="0A709C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3A0FA0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3A36A8">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517056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tcMar>
              <w:left w:w="57" w:type="dxa"/>
              <w:right w:w="57" w:type="dxa"/>
            </w:tcMar>
            <w:vAlign w:val="center"/>
          </w:tcPr>
          <w:p w14:paraId="7AEB50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top"/>
          </w:tcPr>
          <w:p w14:paraId="6B9633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46CBA8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12F698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3063B8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4C8652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0366AE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27D310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4422ED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B6A9C39">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62B9F901">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center"/>
          </w:tcPr>
          <w:p w14:paraId="220422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top"/>
          </w:tcPr>
          <w:p w14:paraId="4759BF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3DDC72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13FD74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0C8D1F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7E9D14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3C27C3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3FF4FE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739A7E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58B77F0">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1B9FC9E">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center"/>
          </w:tcPr>
          <w:p w14:paraId="0B05F3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top"/>
          </w:tcPr>
          <w:p w14:paraId="4E5D20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1576F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7FE0C2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567C03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3C2FC1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76606D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2BB1F8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415C0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969720">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14:paraId="7DDE37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7618E6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14:paraId="07D62C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915E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F4CA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14:paraId="4AD0DA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14:paraId="4ED4D6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14:paraId="0E5E8A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center"/>
              <w:textAlignment w:val="auto"/>
              <w:rPr>
                <w:rFonts w:hint="default"/>
                <w:lang w:val="en-US"/>
              </w:rPr>
            </w:pPr>
            <w:r>
              <w:rPr>
                <w:rFonts w:hint="eastAsia" w:cs="Calibri"/>
                <w:kern w:val="0"/>
                <w:sz w:val="20"/>
                <w:szCs w:val="20"/>
                <w:highlight w:val="none"/>
                <w:lang w:val="en-US" w:eastAsia="zh-CN" w:bidi="ar"/>
              </w:rPr>
              <w:t>1</w:t>
            </w:r>
          </w:p>
        </w:tc>
      </w:tr>
      <w:tr w14:paraId="0500F9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14:paraId="25B20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top"/>
          </w:tcPr>
          <w:p w14:paraId="1D467A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227CED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76DD87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41732A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14:paraId="65FB4D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14:paraId="566E1E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14:paraId="1CF2ED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bl>
    <w:p w14:paraId="73243D4E">
      <w:pPr>
        <w:pStyle w:val="3"/>
        <w:keepNext w:val="0"/>
        <w:keepLines w:val="0"/>
        <w:pageBreakBefore w:val="0"/>
        <w:kinsoku/>
        <w:overflowPunct/>
        <w:topLinePunct w:val="0"/>
        <w:autoSpaceDN/>
        <w:bidi w:val="0"/>
        <w:adjustRightInd/>
        <w:snapToGrid/>
        <w:spacing w:line="560" w:lineRule="exact"/>
        <w:ind w:left="0" w:leftChars="0" w:firstLine="0" w:firstLineChars="0"/>
        <w:textAlignment w:val="auto"/>
        <w:rPr>
          <w:rFonts w:hint="default"/>
          <w:lang w:val="en-US" w:eastAsia="zh-CN"/>
        </w:rPr>
      </w:pPr>
      <w:r>
        <w:rPr>
          <w:rFonts w:hint="eastAsia" w:ascii="黑体" w:hAnsi="黑体" w:eastAsia="黑体" w:cs="黑体"/>
          <w:sz w:val="32"/>
          <w:szCs w:val="32"/>
          <w:lang w:val="en-US" w:eastAsia="zh-CN"/>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2F5E00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A81A6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7D4F7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14:paraId="124774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346535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53141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2B5C72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AF3E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574BE6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0B78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364A8C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22BE1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1DC4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3E6BE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14:paraId="32645D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B26A1E1">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EB6C287">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F734F5">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D8450ED">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A53D818">
            <w:pPr>
              <w:keepNext w:val="0"/>
              <w:keepLines w:val="0"/>
              <w:pageBreakBefore w:val="0"/>
              <w:kinsoku/>
              <w:overflowPunct/>
              <w:topLinePunct w:val="0"/>
              <w:autoSpaceDN/>
              <w:bidi w:val="0"/>
              <w:adjustRightInd/>
              <w:snapToGrid/>
              <w:spacing w:line="560" w:lineRule="exact"/>
              <w:textAlignment w:val="auto"/>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44D12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6ACBE9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2921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526299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784F9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255667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1E77E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5BCAAF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0341F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1CAB4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392432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659AD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0D9023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5DB7B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14:paraId="12B83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AF3CA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17DD69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55A66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14:paraId="766F9F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E688B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E6924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008B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2C74F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AA80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6A93E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E6B88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C57A3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48864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27D6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3066F0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664C44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4D884B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3A4BF2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3B96395B">
            <w:pPr>
              <w:keepNext w:val="0"/>
              <w:keepLines w:val="0"/>
              <w:pageBreakBefore w:val="0"/>
              <w:kinsoku/>
              <w:overflowPunct/>
              <w:topLinePunct w:val="0"/>
              <w:autoSpaceDN/>
              <w:bidi w:val="0"/>
              <w:adjustRightInd/>
              <w:snapToGrid/>
              <w:spacing w:line="560" w:lineRule="exact"/>
              <w:textAlignment w:val="auto"/>
              <w:rPr>
                <w:rFonts w:hint="eastAsia" w:ascii="宋体" w:eastAsia="宋体"/>
                <w:sz w:val="24"/>
                <w:szCs w:val="24"/>
                <w:lang w:val="en-US" w:eastAsia="zh-CN"/>
              </w:rPr>
            </w:pPr>
            <w:r>
              <w:rPr>
                <w:rFonts w:hint="eastAsia" w:ascii="宋体"/>
                <w:sz w:val="24"/>
                <w:szCs w:val="24"/>
                <w:lang w:val="en-US" w:eastAsia="zh-CN"/>
              </w:rPr>
              <w:t>0</w:t>
            </w:r>
          </w:p>
        </w:tc>
      </w:tr>
    </w:tbl>
    <w:p w14:paraId="53E66B6E">
      <w:pPr>
        <w:keepNext w:val="0"/>
        <w:keepLines w:val="0"/>
        <w:pageBreakBefore w:val="0"/>
        <w:numPr>
          <w:ilvl w:val="0"/>
          <w:numId w:val="0"/>
        </w:numPr>
        <w:kinsoku/>
        <w:overflowPunct/>
        <w:topLinePunct w:val="0"/>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14:paraId="6B8448AC">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（一）2023年问题整改情况</w:t>
      </w:r>
    </w:p>
    <w:p w14:paraId="790C78D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政务公开工作人员在高质量完成日常工作的基础上，还积极拓展工作亮点，利用新媒体平台、社交媒体等渠道，以图文、视频等多种形式，将政府工作生动直观地展现给民众，拓宽了信息公开的覆盖面和影响力；二是</w:t>
      </w:r>
      <w:r>
        <w:rPr>
          <w:rFonts w:hint="eastAsia" w:ascii="仿宋_GB2312" w:hAnsi="仿宋_GB2312" w:eastAsia="仿宋_GB2312" w:cs="仿宋_GB2312"/>
          <w:sz w:val="32"/>
          <w:szCs w:val="32"/>
          <w:lang w:val="en-US" w:eastAsia="zh-CN"/>
        </w:rPr>
        <w:t>加强培训指导，政务公开工作人员积极参加市级培训会议，全年镇区共开展政务公开培训2次，提升公开队伍专业化水平。另外，我镇完善考核机制，设置“政务公开”考核指标，激励政务公开工作人员进一步提升工作能力。</w:t>
      </w:r>
    </w:p>
    <w:p w14:paraId="353BF20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（二）2024年存在的主要问题及改进情况</w:t>
      </w:r>
    </w:p>
    <w:p w14:paraId="0830FE8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kern w:val="2"/>
          <w:sz w:val="32"/>
          <w:szCs w:val="32"/>
          <w:lang w:val="en-US" w:eastAsia="zh-CN" w:bidi="ar-SA"/>
        </w:rPr>
        <w:t>主要问题：</w:t>
      </w:r>
      <w:r>
        <w:rPr>
          <w:rFonts w:hint="eastAsia" w:ascii="仿宋_GB2312" w:hAnsi="仿宋_GB2312" w:eastAsia="仿宋_GB2312" w:cs="仿宋_GB2312"/>
          <w:sz w:val="32"/>
          <w:szCs w:val="32"/>
          <w:lang w:val="en-US" w:eastAsia="zh-CN"/>
        </w:rPr>
        <w:t>一是政务公开工作人员变动频繁，影响工作的延续性和稳定性，也在一定程度上制约了政务公开工作的发展和创新。二是部分政府信息发布不够及时</w:t>
      </w:r>
    </w:p>
    <w:p w14:paraId="16C8354C">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3" w:firstLineChars="200"/>
        <w:textAlignment w:val="auto"/>
        <w:rPr>
          <w:rFonts w:ascii="仿宋_GB2312" w:hAnsi="宋体" w:eastAsia="仿宋_GB2312" w:cs="仿宋_GB2312"/>
          <w:i w:val="0"/>
          <w:iCs w:val="0"/>
          <w:caps w:val="0"/>
          <w:color w:val="333333"/>
          <w:spacing w:val="0"/>
          <w:sz w:val="32"/>
          <w:szCs w:val="32"/>
          <w:shd w:val="clear" w:fill="FFFFFF"/>
        </w:rPr>
      </w:pPr>
      <w:r>
        <w:rPr>
          <w:rFonts w:hint="eastAsia" w:ascii="仿宋" w:hAnsi="仿宋" w:eastAsia="仿宋" w:cs="仿宋"/>
          <w:b/>
          <w:bCs/>
          <w:kern w:val="2"/>
          <w:sz w:val="32"/>
          <w:szCs w:val="32"/>
          <w:lang w:val="en-US" w:eastAsia="zh-CN" w:bidi="ar-SA"/>
        </w:rPr>
        <w:t>改进情况：</w:t>
      </w:r>
      <w:r>
        <w:rPr>
          <w:rFonts w:hint="eastAsia" w:ascii="仿宋_GB2312" w:hAnsi="宋体" w:eastAsia="仿宋_GB2312" w:cs="仿宋_GB2312"/>
          <w:i w:val="0"/>
          <w:iCs w:val="0"/>
          <w:caps w:val="0"/>
          <w:color w:val="333333"/>
          <w:spacing w:val="0"/>
          <w:sz w:val="32"/>
          <w:szCs w:val="32"/>
          <w:shd w:val="clear" w:fill="FFFFFF"/>
          <w:lang w:val="en-US" w:eastAsia="zh-CN"/>
        </w:rPr>
        <w:t>一是研究制定我镇政务公开</w:t>
      </w:r>
      <w:r>
        <w:rPr>
          <w:rFonts w:ascii="仿宋_GB2312" w:hAnsi="宋体" w:eastAsia="仿宋_GB2312" w:cs="仿宋_GB2312"/>
          <w:i w:val="0"/>
          <w:iCs w:val="0"/>
          <w:caps w:val="0"/>
          <w:color w:val="333333"/>
          <w:spacing w:val="0"/>
          <w:sz w:val="32"/>
          <w:szCs w:val="32"/>
          <w:shd w:val="clear" w:fill="FFFFFF"/>
        </w:rPr>
        <w:t>整体性、长远性</w:t>
      </w:r>
      <w:r>
        <w:rPr>
          <w:rFonts w:hint="eastAsia" w:ascii="仿宋_GB2312" w:hAnsi="宋体" w:eastAsia="仿宋_GB2312" w:cs="仿宋_GB2312"/>
          <w:i w:val="0"/>
          <w:iCs w:val="0"/>
          <w:caps w:val="0"/>
          <w:color w:val="333333"/>
          <w:spacing w:val="0"/>
          <w:sz w:val="32"/>
          <w:szCs w:val="32"/>
          <w:shd w:val="clear" w:fill="FFFFFF"/>
          <w:lang w:val="en-US" w:eastAsia="zh-CN"/>
        </w:rPr>
        <w:t>规划定位，加强新进政务公开工作人员业务培训，尽快提升业务能力。</w:t>
      </w:r>
      <w:r>
        <w:rPr>
          <w:rFonts w:hint="eastAsia" w:ascii="仿宋_GB2312" w:hAnsi="仿宋_GB2312" w:eastAsia="仿宋_GB2312" w:cs="仿宋_GB2312"/>
          <w:kern w:val="2"/>
          <w:sz w:val="32"/>
          <w:szCs w:val="32"/>
          <w:lang w:val="en-US" w:eastAsia="zh-CN" w:bidi="ar-SA"/>
        </w:rPr>
        <w:t>二是</w:t>
      </w:r>
      <w:r>
        <w:rPr>
          <w:rFonts w:ascii="仿宋_GB2312" w:hAnsi="宋体" w:eastAsia="仿宋_GB2312" w:cs="仿宋_GB2312"/>
          <w:i w:val="0"/>
          <w:iCs w:val="0"/>
          <w:caps w:val="0"/>
          <w:color w:val="333333"/>
          <w:spacing w:val="0"/>
          <w:sz w:val="32"/>
          <w:szCs w:val="32"/>
          <w:shd w:val="clear" w:fill="FFFFFF"/>
        </w:rPr>
        <w:t>进一步明确工作职责划分，加强对政务新媒体和政府网站的监管力度，</w:t>
      </w:r>
      <w:r>
        <w:rPr>
          <w:rFonts w:hint="eastAsia" w:ascii="仿宋_GB2312" w:hAnsi="宋体" w:eastAsia="仿宋_GB2312" w:cs="仿宋_GB2312"/>
          <w:i w:val="0"/>
          <w:iCs w:val="0"/>
          <w:caps w:val="0"/>
          <w:color w:val="333333"/>
          <w:spacing w:val="0"/>
          <w:sz w:val="32"/>
          <w:szCs w:val="32"/>
          <w:shd w:val="clear" w:fill="FFFFFF"/>
        </w:rPr>
        <w:t>在工作开展节点</w:t>
      </w:r>
      <w:r>
        <w:rPr>
          <w:rFonts w:hint="eastAsia" w:ascii="仿宋_GB2312" w:hAnsi="宋体" w:eastAsia="仿宋_GB2312" w:cs="仿宋_GB2312"/>
          <w:i w:val="0"/>
          <w:iCs w:val="0"/>
          <w:caps w:val="0"/>
          <w:color w:val="333333"/>
          <w:spacing w:val="0"/>
          <w:sz w:val="32"/>
          <w:szCs w:val="32"/>
          <w:shd w:val="clear" w:fill="FFFFFF"/>
          <w:lang w:val="en-US" w:eastAsia="zh-CN"/>
        </w:rPr>
        <w:t>上</w:t>
      </w:r>
      <w:r>
        <w:rPr>
          <w:rFonts w:hint="eastAsia" w:ascii="仿宋_GB2312" w:hAnsi="宋体" w:eastAsia="仿宋_GB2312" w:cs="仿宋_GB2312"/>
          <w:i w:val="0"/>
          <w:iCs w:val="0"/>
          <w:caps w:val="0"/>
          <w:color w:val="333333"/>
          <w:spacing w:val="0"/>
          <w:sz w:val="32"/>
          <w:szCs w:val="32"/>
          <w:shd w:val="clear" w:fill="FFFFFF"/>
        </w:rPr>
        <w:t>督促落实，</w:t>
      </w:r>
      <w:r>
        <w:rPr>
          <w:rFonts w:hint="eastAsia" w:ascii="仿宋_GB2312" w:hAnsi="宋体" w:eastAsia="仿宋_GB2312" w:cs="仿宋_GB2312"/>
          <w:i w:val="0"/>
          <w:iCs w:val="0"/>
          <w:caps w:val="0"/>
          <w:color w:val="333333"/>
          <w:spacing w:val="0"/>
          <w:sz w:val="32"/>
          <w:szCs w:val="32"/>
          <w:shd w:val="clear" w:fill="FFFFFF"/>
          <w:lang w:val="en-US" w:eastAsia="zh-CN"/>
        </w:rPr>
        <w:t>确保</w:t>
      </w:r>
      <w:r>
        <w:rPr>
          <w:rFonts w:hint="eastAsia" w:ascii="仿宋_GB2312" w:hAnsi="宋体" w:eastAsia="仿宋_GB2312" w:cs="仿宋_GB2312"/>
          <w:i w:val="0"/>
          <w:iCs w:val="0"/>
          <w:caps w:val="0"/>
          <w:color w:val="333333"/>
          <w:spacing w:val="0"/>
          <w:sz w:val="32"/>
          <w:szCs w:val="32"/>
          <w:shd w:val="clear" w:fill="FFFFFF"/>
        </w:rPr>
        <w:t>“应公开，尽公开”</w:t>
      </w:r>
      <w:r>
        <w:rPr>
          <w:rFonts w:hint="eastAsia" w:ascii="仿宋_GB2312" w:hAnsi="宋体" w:eastAsia="仿宋_GB2312" w:cs="仿宋_GB2312"/>
          <w:i w:val="0"/>
          <w:iCs w:val="0"/>
          <w:caps w:val="0"/>
          <w:color w:val="333333"/>
          <w:spacing w:val="0"/>
          <w:sz w:val="32"/>
          <w:szCs w:val="32"/>
          <w:shd w:val="clear" w:fill="FFFFFF"/>
          <w:lang w:eastAsia="zh-CN"/>
        </w:rPr>
        <w:t>，</w:t>
      </w:r>
      <w:r>
        <w:rPr>
          <w:rFonts w:ascii="仿宋_GB2312" w:hAnsi="宋体" w:eastAsia="仿宋_GB2312" w:cs="仿宋_GB2312"/>
          <w:i w:val="0"/>
          <w:iCs w:val="0"/>
          <w:caps w:val="0"/>
          <w:color w:val="333333"/>
          <w:spacing w:val="0"/>
          <w:sz w:val="32"/>
          <w:szCs w:val="32"/>
          <w:shd w:val="clear" w:fill="FFFFFF"/>
        </w:rPr>
        <w:t>全面提升政务公开水平。</w:t>
      </w:r>
    </w:p>
    <w:p w14:paraId="3B458747">
      <w:pPr>
        <w:keepNext w:val="0"/>
        <w:keepLines w:val="0"/>
        <w:pageBreakBefore w:val="0"/>
        <w:numPr>
          <w:ilvl w:val="0"/>
          <w:numId w:val="0"/>
        </w:numPr>
        <w:kinsoku/>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14:paraId="40636F8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（一）收取信息处理费的情况</w:t>
      </w:r>
    </w:p>
    <w:p w14:paraId="172D99E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2024年度未收取政府信息公开信息处理费，包括：检索费、复制费（含案卷材料复制费）、邮寄费。</w:t>
      </w:r>
    </w:p>
    <w:p w14:paraId="0EB7306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（二）落实安丘市2024年度政务公开工作要点情况</w:t>
      </w:r>
    </w:p>
    <w:p w14:paraId="2476AF9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本机关积极开展基层政务公开标准化规范化工作，健全政务公开组织体系，加强政务信息管理，落实政务公开定期检查，完善政府信息公开工作程序和制度。做到常规性工作定期公开，临时性工作随时公开，固定性工作长期公开。</w:t>
      </w:r>
    </w:p>
    <w:p w14:paraId="13E6FF1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（三）人大代表建议和政协委员提案办理结果公开情况。</w:t>
      </w:r>
    </w:p>
    <w:p w14:paraId="69DDC47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2024年，本机关没有承办人大代表建议和政协委员提案。</w:t>
      </w:r>
    </w:p>
    <w:p w14:paraId="2FC46FBC">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（四）安丘市石堆镇人民政府2024年度政务公开工作创新情况。</w:t>
      </w:r>
    </w:p>
    <w:p w14:paraId="74CF44EE">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14:paraId="74B9938C">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（五）安丘市石堆镇人民政府2024年度政府信息公开工作年度报告数据统计需要说明的事项。</w:t>
      </w:r>
    </w:p>
    <w:p w14:paraId="490A543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度报告中所列各项数据的统计期限自2024年1月1日至2024年12月31日。本年度报告的电子版可在安丘市人民政府门户网站（http://www.anqiu.gov.cn/）下载。如对本报告有任何疑问，请与安丘市石堆镇人民政府党政办公室联系（地址：山东省安丘市石堆镇王宿路57号党政办公室，邮编：262103，电话：0536-4707007，传真：0536-4700007，电子邮箱：sdzdzb@wf.shandong.cn）。</w:t>
      </w:r>
    </w:p>
    <w:p w14:paraId="59229D2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（六）安丘市石堆镇人民政府2024年度没有其他需要报告的事项。</w:t>
      </w:r>
    </w:p>
    <w:p w14:paraId="5A9D534E">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kern w:val="2"/>
          <w:sz w:val="32"/>
          <w:szCs w:val="32"/>
          <w:lang w:val="en-US" w:eastAsia="zh-CN" w:bidi="ar-SA"/>
        </w:rPr>
        <w:t>（七）安丘市石堆镇人民政府本年度没有其他有关文件专门要求通过政府信息公开工作年度报告予以报告的事项。</w:t>
      </w:r>
    </w:p>
    <w:p w14:paraId="4F57FBB5">
      <w:pPr>
        <w:pStyle w:val="3"/>
        <w:keepNext w:val="0"/>
        <w:keepLines w:val="0"/>
        <w:pageBreakBefore w:val="0"/>
        <w:kinsoku/>
        <w:overflowPunct/>
        <w:topLinePunct w:val="0"/>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271090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60" w:lineRule="exact"/>
        <w:ind w:left="0" w:right="0"/>
        <w:jc w:val="right"/>
        <w:textAlignment w:val="auto"/>
        <w:rPr>
          <w:rFonts w:hint="eastAsia" w:ascii="微软雅黑" w:hAnsi="微软雅黑" w:eastAsia="微软雅黑" w:cs="微软雅黑"/>
          <w:color w:val="333333"/>
          <w:sz w:val="24"/>
          <w:szCs w:val="24"/>
        </w:rPr>
      </w:pPr>
      <w:r>
        <w:rPr>
          <w:rFonts w:hint="eastAsia" w:ascii="仿宋_GB2312" w:hAnsi="微软雅黑" w:eastAsia="仿宋_GB2312" w:cs="仿宋_GB2312"/>
          <w:i w:val="0"/>
          <w:iCs w:val="0"/>
          <w:caps w:val="0"/>
          <w:color w:val="333333"/>
          <w:spacing w:val="0"/>
          <w:sz w:val="32"/>
          <w:szCs w:val="32"/>
          <w:shd w:val="clear" w:color="auto" w:fill="FFFFFF"/>
        </w:rPr>
        <w:t>安丘市石堆镇人民政府</w:t>
      </w:r>
    </w:p>
    <w:p w14:paraId="37C6CC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60" w:lineRule="exact"/>
        <w:ind w:left="0" w:right="0"/>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微软雅黑" w:eastAsia="仿宋_GB2312" w:cs="仿宋_GB2312"/>
          <w:i w:val="0"/>
          <w:iCs w:val="0"/>
          <w:caps w:val="0"/>
          <w:color w:val="333333"/>
          <w:spacing w:val="0"/>
          <w:sz w:val="32"/>
          <w:szCs w:val="32"/>
          <w:shd w:val="clear" w:color="auto" w:fill="FFFFFF"/>
        </w:rPr>
        <w:t>202</w:t>
      </w:r>
      <w:r>
        <w:rPr>
          <w:rFonts w:hint="eastAsia" w:ascii="仿宋_GB2312" w:hAnsi="微软雅黑" w:eastAsia="仿宋_GB2312" w:cs="仿宋_GB2312"/>
          <w:i w:val="0"/>
          <w:iCs w:val="0"/>
          <w:caps w:val="0"/>
          <w:color w:val="333333"/>
          <w:spacing w:val="0"/>
          <w:sz w:val="32"/>
          <w:szCs w:val="32"/>
          <w:shd w:val="clear" w:color="auto" w:fill="FFFFFF"/>
          <w:lang w:val="en-US" w:eastAsia="zh-CN"/>
        </w:rPr>
        <w:t>5</w:t>
      </w:r>
      <w:r>
        <w:rPr>
          <w:rFonts w:hint="eastAsia" w:ascii="仿宋_GB2312" w:hAnsi="微软雅黑" w:eastAsia="仿宋_GB2312" w:cs="仿宋_GB2312"/>
          <w:i w:val="0"/>
          <w:iCs w:val="0"/>
          <w:caps w:val="0"/>
          <w:color w:val="333333"/>
          <w:spacing w:val="0"/>
          <w:sz w:val="32"/>
          <w:szCs w:val="32"/>
          <w:shd w:val="clear" w:color="auto" w:fill="FFFFFF"/>
        </w:rPr>
        <w:t>年</w:t>
      </w:r>
      <w:r>
        <w:rPr>
          <w:rFonts w:hint="eastAsia" w:ascii="仿宋_GB2312" w:hAnsi="仿宋_GB2312" w:eastAsia="仿宋_GB2312" w:cs="仿宋_GB2312"/>
          <w:kern w:val="2"/>
          <w:sz w:val="32"/>
          <w:szCs w:val="32"/>
          <w:lang w:val="en-US" w:eastAsia="zh-CN" w:bidi="ar-SA"/>
        </w:rPr>
        <w:t>1月14日</w:t>
      </w:r>
    </w:p>
    <w:p w14:paraId="57D583A9">
      <w:pPr>
        <w:rPr>
          <w:rFonts w:hint="default" w:ascii="仿宋_GB2312" w:hAnsi="仿宋_GB2312" w:eastAsia="仿宋_GB2312" w:cs="仿宋_GB2312"/>
          <w:i w:val="0"/>
          <w:iCs w:val="0"/>
          <w:caps w:val="0"/>
          <w:color w:val="333333"/>
          <w:spacing w:val="0"/>
          <w:sz w:val="32"/>
          <w:szCs w:val="32"/>
          <w:shd w:val="clear" w:color="auto" w:fill="FFFFFF"/>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7A2839-472B-48A7-9D7D-37DDEC8D2A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21A99A6-98FD-4A91-82DF-0CD0FE18C91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6680A414-1D75-49BD-A932-235C352D1CA0}"/>
  </w:font>
  <w:font w:name="楷体_GB2312">
    <w:panose1 w:val="02010609030101010101"/>
    <w:charset w:val="86"/>
    <w:family w:val="auto"/>
    <w:pitch w:val="default"/>
    <w:sig w:usb0="00000001" w:usb1="080E0000" w:usb2="00000000" w:usb3="00000000" w:csb0="00040000" w:csb1="00000000"/>
    <w:embedRegular r:id="rId4" w:fontKey="{A861E4BF-ABE2-4AB5-A9A6-C528EBF4310E}"/>
  </w:font>
  <w:font w:name="仿宋">
    <w:panose1 w:val="02010609060101010101"/>
    <w:charset w:val="86"/>
    <w:family w:val="auto"/>
    <w:pitch w:val="default"/>
    <w:sig w:usb0="800002BF" w:usb1="38CF7CFA" w:usb2="00000016" w:usb3="00000000" w:csb0="00040001" w:csb1="00000000"/>
    <w:embedRegular r:id="rId5" w:fontKey="{F3734221-578D-4A59-80DB-2ED316B11100}"/>
  </w:font>
  <w:font w:name="方正仿宋_GB2312">
    <w:altName w:val="仿宋"/>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embedRegular r:id="rId6" w:fontKey="{1E879E89-EEE9-49FF-B08F-7D8EBDA9195B}"/>
  </w:font>
  <w:font w:name="微软雅黑">
    <w:panose1 w:val="020B0503020204020204"/>
    <w:charset w:val="86"/>
    <w:family w:val="auto"/>
    <w:pitch w:val="default"/>
    <w:sig w:usb0="80000287" w:usb1="2ACF3C50" w:usb2="00000016" w:usb3="00000000" w:csb0="0004001F" w:csb1="00000000"/>
    <w:embedRegular r:id="rId7" w:fontKey="{42BA7444-438C-4E18-BAE4-A9CAC85E7A1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41211"/>
    <w:multiLevelType w:val="singleLevel"/>
    <w:tmpl w:val="CC04121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NWZmNDAzODM1YWVkNTBhZThkNDRlNjQzMzAzNjYifQ=="/>
  </w:docVars>
  <w:rsids>
    <w:rsidRoot w:val="00000000"/>
    <w:rsid w:val="02C10DFF"/>
    <w:rsid w:val="03D42BB9"/>
    <w:rsid w:val="03EC7ADB"/>
    <w:rsid w:val="067B57E2"/>
    <w:rsid w:val="082500FC"/>
    <w:rsid w:val="095F3199"/>
    <w:rsid w:val="0A5E78F5"/>
    <w:rsid w:val="0A782399"/>
    <w:rsid w:val="0B6B7484"/>
    <w:rsid w:val="0B9C1E96"/>
    <w:rsid w:val="0BD25EA5"/>
    <w:rsid w:val="0BDF4BD0"/>
    <w:rsid w:val="0C8E2094"/>
    <w:rsid w:val="0C923718"/>
    <w:rsid w:val="0CBB102F"/>
    <w:rsid w:val="0CF12CA2"/>
    <w:rsid w:val="0CFF53BF"/>
    <w:rsid w:val="0D662D48"/>
    <w:rsid w:val="0E082052"/>
    <w:rsid w:val="0E0D1416"/>
    <w:rsid w:val="0E71797E"/>
    <w:rsid w:val="0E99714E"/>
    <w:rsid w:val="0F6A5FF7"/>
    <w:rsid w:val="0FBF3882"/>
    <w:rsid w:val="10027152"/>
    <w:rsid w:val="106766A1"/>
    <w:rsid w:val="109B404E"/>
    <w:rsid w:val="11800151"/>
    <w:rsid w:val="11904838"/>
    <w:rsid w:val="11EB78AF"/>
    <w:rsid w:val="123553DF"/>
    <w:rsid w:val="12505070"/>
    <w:rsid w:val="12796360"/>
    <w:rsid w:val="13D16334"/>
    <w:rsid w:val="13E75FB2"/>
    <w:rsid w:val="145E6E6F"/>
    <w:rsid w:val="14F926F4"/>
    <w:rsid w:val="154C0FF9"/>
    <w:rsid w:val="156C2EC6"/>
    <w:rsid w:val="161A0B74"/>
    <w:rsid w:val="16247311"/>
    <w:rsid w:val="169151F8"/>
    <w:rsid w:val="175207E1"/>
    <w:rsid w:val="17935CD1"/>
    <w:rsid w:val="18422604"/>
    <w:rsid w:val="18451472"/>
    <w:rsid w:val="185D11EC"/>
    <w:rsid w:val="19886E22"/>
    <w:rsid w:val="1A411F5F"/>
    <w:rsid w:val="1AD73553"/>
    <w:rsid w:val="1AE532AF"/>
    <w:rsid w:val="1B764362"/>
    <w:rsid w:val="1BC51582"/>
    <w:rsid w:val="1CD11779"/>
    <w:rsid w:val="1D5A3F4C"/>
    <w:rsid w:val="1DFE521F"/>
    <w:rsid w:val="1F3B01B7"/>
    <w:rsid w:val="1FD75D28"/>
    <w:rsid w:val="1FE128DD"/>
    <w:rsid w:val="20207374"/>
    <w:rsid w:val="20B97A89"/>
    <w:rsid w:val="21F229A5"/>
    <w:rsid w:val="24570AC9"/>
    <w:rsid w:val="24973838"/>
    <w:rsid w:val="24CE5FAE"/>
    <w:rsid w:val="256B319A"/>
    <w:rsid w:val="25D55EC9"/>
    <w:rsid w:val="27351CB2"/>
    <w:rsid w:val="28177609"/>
    <w:rsid w:val="285B7316"/>
    <w:rsid w:val="28BA2B44"/>
    <w:rsid w:val="28F32633"/>
    <w:rsid w:val="296F6FD1"/>
    <w:rsid w:val="2A075F37"/>
    <w:rsid w:val="2C615316"/>
    <w:rsid w:val="2C8776ED"/>
    <w:rsid w:val="2C8D42CF"/>
    <w:rsid w:val="2CAE1214"/>
    <w:rsid w:val="2D7962EA"/>
    <w:rsid w:val="2D7F7A4C"/>
    <w:rsid w:val="2E5C3FC8"/>
    <w:rsid w:val="2EB15996"/>
    <w:rsid w:val="2EBC4A66"/>
    <w:rsid w:val="2F124686"/>
    <w:rsid w:val="2F357B07"/>
    <w:rsid w:val="2F3E191F"/>
    <w:rsid w:val="2F882B9B"/>
    <w:rsid w:val="31653193"/>
    <w:rsid w:val="31AB491E"/>
    <w:rsid w:val="31C61F76"/>
    <w:rsid w:val="32555174"/>
    <w:rsid w:val="33B70C03"/>
    <w:rsid w:val="34FB2398"/>
    <w:rsid w:val="357D4824"/>
    <w:rsid w:val="360B1E2F"/>
    <w:rsid w:val="3684230E"/>
    <w:rsid w:val="370D0E7F"/>
    <w:rsid w:val="371F3DE4"/>
    <w:rsid w:val="37671737"/>
    <w:rsid w:val="37704640"/>
    <w:rsid w:val="3807313D"/>
    <w:rsid w:val="38A30A45"/>
    <w:rsid w:val="38B65E7B"/>
    <w:rsid w:val="397F3DCC"/>
    <w:rsid w:val="39E3559D"/>
    <w:rsid w:val="3A0379ED"/>
    <w:rsid w:val="3A0D261A"/>
    <w:rsid w:val="3A1273C6"/>
    <w:rsid w:val="3A5A32DD"/>
    <w:rsid w:val="3ACC5F5A"/>
    <w:rsid w:val="3B8E442A"/>
    <w:rsid w:val="3BA945C4"/>
    <w:rsid w:val="3D762284"/>
    <w:rsid w:val="3D864BBD"/>
    <w:rsid w:val="3DA9265A"/>
    <w:rsid w:val="3DDF4DD6"/>
    <w:rsid w:val="3E3A7756"/>
    <w:rsid w:val="3E4B1963"/>
    <w:rsid w:val="3E5A7908"/>
    <w:rsid w:val="3E726EF0"/>
    <w:rsid w:val="3F127E08"/>
    <w:rsid w:val="40534AFF"/>
    <w:rsid w:val="408D0011"/>
    <w:rsid w:val="40F462E2"/>
    <w:rsid w:val="416D7EB5"/>
    <w:rsid w:val="41717932"/>
    <w:rsid w:val="419047D1"/>
    <w:rsid w:val="41DD0B24"/>
    <w:rsid w:val="423676B0"/>
    <w:rsid w:val="42F205FF"/>
    <w:rsid w:val="444D47C1"/>
    <w:rsid w:val="445347FB"/>
    <w:rsid w:val="44A40300"/>
    <w:rsid w:val="44D423A3"/>
    <w:rsid w:val="44E87D71"/>
    <w:rsid w:val="46100AD4"/>
    <w:rsid w:val="46E22739"/>
    <w:rsid w:val="475E2707"/>
    <w:rsid w:val="47DA11B4"/>
    <w:rsid w:val="4806483E"/>
    <w:rsid w:val="481C1C7A"/>
    <w:rsid w:val="489B34E7"/>
    <w:rsid w:val="490B41C9"/>
    <w:rsid w:val="498F2280"/>
    <w:rsid w:val="49966B77"/>
    <w:rsid w:val="49B9693A"/>
    <w:rsid w:val="49BB5BEF"/>
    <w:rsid w:val="4A547630"/>
    <w:rsid w:val="4C343A36"/>
    <w:rsid w:val="4C7D362F"/>
    <w:rsid w:val="4D0B0C3B"/>
    <w:rsid w:val="4DC164B0"/>
    <w:rsid w:val="4DD049FB"/>
    <w:rsid w:val="4DFA2A5E"/>
    <w:rsid w:val="4EEC23A6"/>
    <w:rsid w:val="4FB86F32"/>
    <w:rsid w:val="4FE85264"/>
    <w:rsid w:val="50707E35"/>
    <w:rsid w:val="50856264"/>
    <w:rsid w:val="513A0219"/>
    <w:rsid w:val="521030AF"/>
    <w:rsid w:val="52164092"/>
    <w:rsid w:val="52D90E94"/>
    <w:rsid w:val="53BD07B5"/>
    <w:rsid w:val="54554E92"/>
    <w:rsid w:val="56EF622F"/>
    <w:rsid w:val="5846521D"/>
    <w:rsid w:val="58647451"/>
    <w:rsid w:val="598C075B"/>
    <w:rsid w:val="5996651A"/>
    <w:rsid w:val="5A2E6CD8"/>
    <w:rsid w:val="5AB27A10"/>
    <w:rsid w:val="5ADB7D78"/>
    <w:rsid w:val="5AF2343A"/>
    <w:rsid w:val="5B341B1C"/>
    <w:rsid w:val="5B800A46"/>
    <w:rsid w:val="5CB63F84"/>
    <w:rsid w:val="5CFF3BED"/>
    <w:rsid w:val="5D0F57A7"/>
    <w:rsid w:val="5D1C6DB3"/>
    <w:rsid w:val="5D7C0CDB"/>
    <w:rsid w:val="5E5825A6"/>
    <w:rsid w:val="5E843E17"/>
    <w:rsid w:val="619E1C26"/>
    <w:rsid w:val="61D158D0"/>
    <w:rsid w:val="63C1196A"/>
    <w:rsid w:val="640104C5"/>
    <w:rsid w:val="644A5EC1"/>
    <w:rsid w:val="6488402C"/>
    <w:rsid w:val="64F62D62"/>
    <w:rsid w:val="656C4713"/>
    <w:rsid w:val="65B61D10"/>
    <w:rsid w:val="66020392"/>
    <w:rsid w:val="667F5A9A"/>
    <w:rsid w:val="67430B73"/>
    <w:rsid w:val="677D63AA"/>
    <w:rsid w:val="678E0047"/>
    <w:rsid w:val="67C63526"/>
    <w:rsid w:val="67D57A24"/>
    <w:rsid w:val="67F53AE9"/>
    <w:rsid w:val="683C7AA3"/>
    <w:rsid w:val="699B77F3"/>
    <w:rsid w:val="69D32689"/>
    <w:rsid w:val="69DF4B8A"/>
    <w:rsid w:val="69F04FE9"/>
    <w:rsid w:val="6A334ED5"/>
    <w:rsid w:val="6A6E56A3"/>
    <w:rsid w:val="6AB62F2F"/>
    <w:rsid w:val="6AE34B4E"/>
    <w:rsid w:val="6B1E16E2"/>
    <w:rsid w:val="6B2D7D91"/>
    <w:rsid w:val="6B3A7059"/>
    <w:rsid w:val="6E0468FF"/>
    <w:rsid w:val="6E4A0A40"/>
    <w:rsid w:val="6E810806"/>
    <w:rsid w:val="6F082DD5"/>
    <w:rsid w:val="6F8F2BAE"/>
    <w:rsid w:val="70291255"/>
    <w:rsid w:val="712672B4"/>
    <w:rsid w:val="71A60683"/>
    <w:rsid w:val="71CF7BDA"/>
    <w:rsid w:val="71DD22F7"/>
    <w:rsid w:val="723403FA"/>
    <w:rsid w:val="72477710"/>
    <w:rsid w:val="72E9315A"/>
    <w:rsid w:val="731A162D"/>
    <w:rsid w:val="732C4748"/>
    <w:rsid w:val="7346501E"/>
    <w:rsid w:val="74D86DA5"/>
    <w:rsid w:val="750379B1"/>
    <w:rsid w:val="75517067"/>
    <w:rsid w:val="773A3D47"/>
    <w:rsid w:val="77E65C7D"/>
    <w:rsid w:val="77FF76BB"/>
    <w:rsid w:val="78236589"/>
    <w:rsid w:val="79C36276"/>
    <w:rsid w:val="79C478F8"/>
    <w:rsid w:val="79E9564A"/>
    <w:rsid w:val="7A8D0632"/>
    <w:rsid w:val="7ABD5BC0"/>
    <w:rsid w:val="7B564EC8"/>
    <w:rsid w:val="7C2119F0"/>
    <w:rsid w:val="7CD6006E"/>
    <w:rsid w:val="7CEA2CFB"/>
    <w:rsid w:val="7D0B583E"/>
    <w:rsid w:val="7D703517"/>
    <w:rsid w:val="7E663674"/>
    <w:rsid w:val="7EBA75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普通(网站) Char"/>
    <w:basedOn w:val="1"/>
    <w:autoRedefine/>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atin typeface="方正仿宋_GB2312" panose="02000000000000000000" charset="-122"/>
                <a:ea typeface="方正仿宋_GB2312" panose="02000000000000000000" charset="-122"/>
              </a:rPr>
              <a:t>近年来我单位收到政府信息公开申请变化情况表</a:t>
            </a:r>
            <a:endParaRPr>
              <a:latin typeface="方正仿宋_GB2312" panose="02000000000000000000" charset="-122"/>
              <a:ea typeface="方正仿宋_GB2312" panose="02000000000000000000" charset="-122"/>
            </a:endParaRPr>
          </a:p>
        </c:rich>
      </c:tx>
      <c:layout>
        <c:manualLayout>
          <c:xMode val="edge"/>
          <c:yMode val="edge"/>
          <c:x val="0.106980075530668"/>
          <c:y val="0.0244265713434615"/>
        </c:manualLayout>
      </c:layout>
      <c:overlay val="0"/>
      <c:spPr>
        <a:noFill/>
        <a:ln>
          <a:noFill/>
        </a:ln>
        <a:effectLst/>
      </c:spPr>
    </c:title>
    <c:autoTitleDeleted val="0"/>
    <c:plotArea>
      <c:layout/>
      <c:lineChart>
        <c:grouping val="standard"/>
        <c:varyColors val="0"/>
        <c:ser>
          <c:idx val="0"/>
          <c:order val="0"/>
          <c:tx>
            <c:strRef>
              <c:f>Sheet1!$B$1</c:f>
              <c:strCache>
                <c:ptCount val="1"/>
                <c:pt idx="0">
                  <c:v>系列 1</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Sheet1!$B$2:$B$6</c:f>
              <c:numCache>
                <c:formatCode>General</c:formatCode>
                <c:ptCount val="5"/>
                <c:pt idx="0">
                  <c:v>0</c:v>
                </c:pt>
                <c:pt idx="1">
                  <c:v>0</c:v>
                </c:pt>
                <c:pt idx="2">
                  <c:v>3</c:v>
                </c:pt>
                <c:pt idx="3">
                  <c:v>1</c:v>
                </c:pt>
                <c:pt idx="4">
                  <c:v>1</c:v>
                </c:pt>
              </c:numCache>
            </c:numRef>
          </c:val>
          <c:smooth val="0"/>
        </c:ser>
        <c:ser>
          <c:idx val="1"/>
          <c:order val="1"/>
          <c:tx>
            <c:strRef>
              <c:f>Sheet1!#REF!</c:f>
              <c:strCache>
                <c:ptCount val="1"/>
                <c:pt idx="0">
                  <c:v/>
                </c:pt>
              </c:strCache>
            </c:strRef>
          </c:tx>
          <c:spPr>
            <a:ln w="28575" cap="rnd">
              <a:solidFill>
                <a:schemeClr val="accent2"/>
              </a:solidFill>
              <a:round/>
            </a:ln>
            <a:effectLst/>
          </c:spPr>
          <c:marker>
            <c:symbol val="none"/>
          </c:marker>
          <c:dLbls>
            <c:delete val="1"/>
          </c:dLbls>
          <c:cat>
            <c:numRef>
              <c:f>Sheet1!$A$2:$A$6</c:f>
              <c:numCache>
                <c:formatCode>General</c:formatCode>
                <c:ptCount val="5"/>
                <c:pt idx="0">
                  <c:v>2020</c:v>
                </c:pt>
                <c:pt idx="1">
                  <c:v>2021</c:v>
                </c:pt>
                <c:pt idx="2">
                  <c:v>2022</c:v>
                </c:pt>
                <c:pt idx="3">
                  <c:v>2023</c:v>
                </c:pt>
                <c:pt idx="4">
                  <c:v>2024</c:v>
                </c:pt>
              </c:numCache>
            </c:numRef>
          </c:cat>
          <c:val>
            <c:numRef>
              <c:f>Sheet1!#REF!</c:f>
              <c:numCache>
                <c:formatCode>General</c:formatCode>
                <c:ptCount val="1"/>
                <c:pt idx="0">
                  <c:v>1</c:v>
                </c:pt>
              </c:numCache>
            </c:numRef>
          </c:val>
          <c:smooth val="0"/>
        </c:ser>
        <c:ser>
          <c:idx val="2"/>
          <c:order val="2"/>
          <c:tx>
            <c:strRef>
              <c:f>Sheet1!#REF!</c:f>
              <c:strCache>
                <c:ptCount val="1"/>
                <c:pt idx="0">
                  <c:v/>
                </c:pt>
              </c:strCache>
            </c:strRef>
          </c:tx>
          <c:spPr>
            <a:ln w="28575" cap="rnd">
              <a:solidFill>
                <a:schemeClr val="accent3"/>
              </a:solidFill>
              <a:round/>
            </a:ln>
            <a:effectLst/>
          </c:spPr>
          <c:marker>
            <c:symbol val="none"/>
          </c:marker>
          <c:dLbls>
            <c:delete val="1"/>
          </c:dLbls>
          <c:cat>
            <c:numRef>
              <c:f>Sheet1!$A$2:$A$6</c:f>
              <c:numCache>
                <c:formatCode>General</c:formatCode>
                <c:ptCount val="5"/>
                <c:pt idx="0">
                  <c:v>2020</c:v>
                </c:pt>
                <c:pt idx="1">
                  <c:v>2021</c:v>
                </c:pt>
                <c:pt idx="2">
                  <c:v>2022</c:v>
                </c:pt>
                <c:pt idx="3">
                  <c:v>2023</c:v>
                </c:pt>
                <c:pt idx="4">
                  <c:v>2024</c:v>
                </c:pt>
              </c:numCache>
            </c:num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0"/>
        <c:smooth val="0"/>
        <c:axId val="83537839"/>
        <c:axId val="193219798"/>
      </c:lineChart>
      <c:catAx>
        <c:axId val="83537839"/>
        <c:scaling>
          <c:orientation val="minMax"/>
        </c:scaling>
        <c:delete val="0"/>
        <c:axPos val="b"/>
        <c:majorTickMark val="none"/>
        <c:minorTickMark val="in"/>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3219798"/>
        <c:crosses val="autoZero"/>
        <c:auto val="1"/>
        <c:lblAlgn val="ctr"/>
        <c:lblOffset val="100"/>
        <c:noMultiLvlLbl val="0"/>
      </c:catAx>
      <c:valAx>
        <c:axId val="193219798"/>
        <c:scaling>
          <c:orientation val="minMax"/>
          <c:max val="5"/>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537839"/>
        <c:crossesAt val="1"/>
        <c:crossBetween val="between"/>
        <c:majorUnit val="1"/>
      </c:valAx>
      <c:spPr>
        <a:noFill/>
        <a:ln>
          <a:noFill/>
        </a:ln>
        <a:effectLst/>
      </c:spPr>
    </c:plotArea>
    <c:plotVisOnly val="1"/>
    <c:dispBlanksAs val="gap"/>
    <c:showDLblsOverMax val="0"/>
    <c:extLst>
      <c:ext uri="{0b15fc19-7d7d-44ad-8c2d-2c3a37ce22c3}">
        <chartProps xmlns="https://web.wps.cn/et/2018/main" chartId="{b72937df-a877-4ac1-a112-d8f8a466376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3364</Words>
  <Characters>3540</Characters>
  <Lines>0</Lines>
  <Paragraphs>0</Paragraphs>
  <TotalTime>7</TotalTime>
  <ScaleCrop>false</ScaleCrop>
  <LinksUpToDate>false</LinksUpToDate>
  <CharactersWithSpaces>3728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2022-01-14T06:27:00Z</dcterms:created>
  <dc:creator>Administrator</dc:creator>
  <cp:lastModifiedBy>WPS_1722515025</cp:lastModifiedBy>
  <cp:lastPrinted>2022-01-18T00:36:00Z</cp:lastPrinted>
  <dcterms:modified xsi:type="dcterms:W3CDTF">2025-01-14T09:18:05Z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8FBC7CA0CF504433BE4F221179A5BB08_13</vt:lpwstr>
  </property>
  <property fmtid="{D5CDD505-2E9C-101B-9397-08002B2CF9AE}" pid="4" name="KSOTemplateDocerSaveRecord">
    <vt:lpwstr>eyJoZGlkIjoiNjA2NWZmNDAzODM1YWVkNTBhZThkNDRlNjQzMzAzNjYiLCJ1c2VySWQiOiIxNjE3NzI4Nzk5In0=</vt:lpwstr>
  </property>
</Properties>
</file>